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jc w:val="left"/>
        <w:rPr>
          <w:rFonts w:ascii="宋体" w:hAnsi="宋体" w:eastAsia="宋体"/>
          <w:b/>
          <w:color w:val="000000" w:themeColor="text1"/>
          <w:kern w:val="0"/>
          <w:sz w:val="44"/>
          <w:szCs w:val="44"/>
          <w14:textFill>
            <w14:solidFill>
              <w14:schemeClr w14:val="tx1"/>
            </w14:solidFill>
          </w14:textFill>
        </w:rPr>
      </w:pPr>
      <w:r>
        <w:rPr>
          <w:rFonts w:hint="eastAsia" w:ascii="黑体" w:hAnsi="黑体" w:eastAsia="黑体"/>
          <w:b/>
          <w:color w:val="000000" w:themeColor="text1"/>
          <w:sz w:val="56"/>
          <w:szCs w:val="72"/>
          <w14:textFill>
            <w14:solidFill>
              <w14:schemeClr w14:val="tx1"/>
            </w14:solidFill>
          </w14:textFill>
        </w:rPr>
        <w:drawing>
          <wp:anchor distT="0" distB="0" distL="114300" distR="114300" simplePos="0" relativeHeight="251659264" behindDoc="0" locked="0" layoutInCell="1" allowOverlap="1">
            <wp:simplePos x="0" y="0"/>
            <wp:positionH relativeFrom="column">
              <wp:posOffset>142240</wp:posOffset>
            </wp:positionH>
            <wp:positionV relativeFrom="paragraph">
              <wp:posOffset>656590</wp:posOffset>
            </wp:positionV>
            <wp:extent cx="638175" cy="638175"/>
            <wp:effectExtent l="0" t="0" r="9525" b="9525"/>
            <wp:wrapSquare wrapText="bothSides"/>
            <wp:docPr id="1" name="图片 2" descr="t013cf7df1e0df295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t013cf7df1e0df2954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638175" cy="638175"/>
                    </a:xfrm>
                    <a:prstGeom prst="rect">
                      <a:avLst/>
                    </a:prstGeom>
                    <a:noFill/>
                    <a:ln w="9525" cmpd="sng">
                      <a:noFill/>
                      <a:miter lim="800000"/>
                      <a:headEnd/>
                      <a:tailEnd/>
                    </a:ln>
                  </pic:spPr>
                </pic:pic>
              </a:graphicData>
            </a:graphic>
          </wp:anchor>
        </w:drawing>
      </w:r>
    </w:p>
    <w:p>
      <w:pPr>
        <w:widowControl/>
        <w:spacing w:before="624" w:beforeLines="200"/>
        <w:jc w:val="center"/>
        <w:rPr>
          <w:rFonts w:ascii="宋体" w:hAnsi="宋体" w:eastAsia="宋体"/>
          <w:b/>
          <w:color w:val="000000" w:themeColor="text1"/>
          <w:kern w:val="0"/>
          <w:sz w:val="44"/>
          <w:szCs w:val="44"/>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column">
              <wp:posOffset>-66040</wp:posOffset>
            </wp:positionH>
            <wp:positionV relativeFrom="paragraph">
              <wp:posOffset>45720</wp:posOffset>
            </wp:positionV>
            <wp:extent cx="2809875" cy="354965"/>
            <wp:effectExtent l="0" t="0" r="9525" b="6985"/>
            <wp:wrapSquare wrapText="bothSides"/>
            <wp:docPr id="2054" name="Picture 6" descr="院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6" descr="院名"/>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09875" cy="354965"/>
                    </a:xfrm>
                    <a:prstGeom prst="rect">
                      <a:avLst/>
                    </a:prstGeom>
                    <a:noFill/>
                  </pic:spPr>
                </pic:pic>
              </a:graphicData>
            </a:graphic>
          </wp:anchor>
        </w:drawing>
      </w:r>
    </w:p>
    <w:p>
      <w:pPr>
        <w:widowControl/>
        <w:spacing w:before="312" w:beforeLines="100"/>
        <w:jc w:val="center"/>
        <w:rPr>
          <w:rFonts w:ascii="宋体" w:hAnsi="宋体" w:eastAsia="宋体"/>
          <w:b/>
          <w:color w:val="000000" w:themeColor="text1"/>
          <w:kern w:val="0"/>
          <w:sz w:val="44"/>
          <w:szCs w:val="44"/>
          <w14:textFill>
            <w14:solidFill>
              <w14:schemeClr w14:val="tx1"/>
            </w14:solidFill>
          </w14:textFill>
        </w:rPr>
      </w:pPr>
    </w:p>
    <w:p>
      <w:pPr>
        <w:widowControl/>
        <w:spacing w:before="312" w:beforeLines="100"/>
        <w:jc w:val="center"/>
        <w:rPr>
          <w:rFonts w:ascii="宋体" w:hAnsi="宋体" w:eastAsia="宋体"/>
          <w:b/>
          <w:color w:val="000000" w:themeColor="text1"/>
          <w:kern w:val="0"/>
          <w:sz w:val="44"/>
          <w:szCs w:val="44"/>
          <w14:textFill>
            <w14:solidFill>
              <w14:schemeClr w14:val="tx1"/>
            </w14:solidFill>
          </w14:textFill>
        </w:rPr>
      </w:pPr>
    </w:p>
    <w:p>
      <w:pPr>
        <w:widowControl/>
        <w:spacing w:before="624" w:beforeLines="200" w:line="800" w:lineRule="exact"/>
        <w:jc w:val="center"/>
        <w:rPr>
          <w:rFonts w:asciiTheme="minorEastAsia" w:hAnsiTheme="minorEastAsia" w:eastAsiaTheme="minorEastAsia"/>
          <w:b/>
          <w:color w:val="000000" w:themeColor="text1"/>
          <w:w w:val="120"/>
          <w:kern w:val="0"/>
          <w:sz w:val="44"/>
          <w:szCs w:val="44"/>
          <w14:textFill>
            <w14:solidFill>
              <w14:schemeClr w14:val="tx1"/>
            </w14:solidFill>
          </w14:textFill>
        </w:rPr>
      </w:pPr>
      <w:r>
        <w:rPr>
          <w:rFonts w:hint="eastAsia" w:asciiTheme="minorEastAsia" w:hAnsiTheme="minorEastAsia" w:eastAsiaTheme="minorEastAsia"/>
          <w:b/>
          <w:color w:val="000000" w:themeColor="text1"/>
          <w:sz w:val="44"/>
          <w:szCs w:val="44"/>
          <w14:textFill>
            <w14:solidFill>
              <w14:schemeClr w14:val="tx1"/>
            </w14:solidFill>
          </w14:textFill>
        </w:rPr>
        <w:t>20</w:t>
      </w:r>
      <w:r>
        <w:rPr>
          <w:rFonts w:hint="eastAsia" w:asciiTheme="minorEastAsia" w:hAnsiTheme="minorEastAsia" w:eastAsiaTheme="minorEastAsia"/>
          <w:b/>
          <w:color w:val="000000" w:themeColor="text1"/>
          <w:sz w:val="44"/>
          <w:szCs w:val="44"/>
          <w:lang w:val="en-US" w:eastAsia="zh-CN"/>
          <w14:textFill>
            <w14:solidFill>
              <w14:schemeClr w14:val="tx1"/>
            </w14:solidFill>
          </w14:textFill>
        </w:rPr>
        <w:t>20</w:t>
      </w:r>
      <w:r>
        <w:rPr>
          <w:rFonts w:hint="eastAsia" w:asciiTheme="minorEastAsia" w:hAnsiTheme="minorEastAsia" w:eastAsiaTheme="minorEastAsia"/>
          <w:b/>
          <w:color w:val="000000" w:themeColor="text1"/>
          <w:kern w:val="0"/>
          <w:sz w:val="44"/>
          <w:szCs w:val="44"/>
          <w14:textFill>
            <w14:solidFill>
              <w14:schemeClr w14:val="tx1"/>
            </w14:solidFill>
          </w14:textFill>
        </w:rPr>
        <w:t>级三年制（高职）</w:t>
      </w:r>
      <w:r>
        <w:rPr>
          <w:rFonts w:hint="eastAsia" w:asciiTheme="minorEastAsia" w:hAnsiTheme="minorEastAsia" w:eastAsiaTheme="minorEastAsia"/>
          <w:b/>
          <w:color w:val="000000" w:themeColor="text1"/>
          <w:kern w:val="0"/>
          <w:sz w:val="44"/>
          <w:szCs w:val="44"/>
          <w:lang w:val="en-US" w:eastAsia="zh-CN"/>
          <w14:textFill>
            <w14:solidFill>
              <w14:schemeClr w14:val="tx1"/>
            </w14:solidFill>
          </w14:textFill>
        </w:rPr>
        <w:t>物流管理（分类考试）</w:t>
      </w:r>
      <w:r>
        <w:rPr>
          <w:rFonts w:hint="eastAsia" w:asciiTheme="minorEastAsia" w:hAnsiTheme="minorEastAsia" w:eastAsiaTheme="minorEastAsia"/>
          <w:b/>
          <w:color w:val="000000" w:themeColor="text1"/>
          <w:kern w:val="0"/>
          <w:sz w:val="44"/>
          <w:szCs w:val="44"/>
          <w14:textFill>
            <w14:solidFill>
              <w14:schemeClr w14:val="tx1"/>
            </w14:solidFill>
          </w14:textFill>
        </w:rPr>
        <w:t>专业人才培养方案</w:t>
      </w:r>
    </w:p>
    <w:p>
      <w:pPr>
        <w:widowControl/>
        <w:jc w:val="left"/>
        <w:rPr>
          <w:rFonts w:eastAsia="宋体"/>
          <w:color w:val="000000" w:themeColor="text1"/>
          <w:kern w:val="0"/>
          <w14:textFill>
            <w14:solidFill>
              <w14:schemeClr w14:val="tx1"/>
            </w14:solidFill>
          </w14:textFill>
        </w:rPr>
      </w:pPr>
    </w:p>
    <w:p>
      <w:pPr>
        <w:widowControl/>
        <w:jc w:val="left"/>
        <w:rPr>
          <w:rFonts w:eastAsia="宋体"/>
          <w:color w:val="000000" w:themeColor="text1"/>
          <w:kern w:val="0"/>
          <w14:textFill>
            <w14:solidFill>
              <w14:schemeClr w14:val="tx1"/>
            </w14:solidFill>
          </w14:textFill>
        </w:rPr>
      </w:pPr>
    </w:p>
    <w:p>
      <w:pPr>
        <w:widowControl/>
        <w:jc w:val="left"/>
        <w:rPr>
          <w:rFonts w:asciiTheme="majorEastAsia" w:hAnsiTheme="majorEastAsia" w:eastAsiaTheme="majorEastAsia"/>
          <w:color w:val="000000" w:themeColor="text1"/>
          <w:kern w:val="0"/>
          <w14:textFill>
            <w14:solidFill>
              <w14:schemeClr w14:val="tx1"/>
            </w14:solidFill>
          </w14:textFill>
        </w:rPr>
      </w:pPr>
    </w:p>
    <w:p>
      <w:pPr>
        <w:widowControl/>
        <w:spacing w:line="800" w:lineRule="exact"/>
        <w:ind w:firstLine="1275" w:firstLineChars="397"/>
        <w:jc w:val="left"/>
        <w:rPr>
          <w:rFonts w:ascii="宋体" w:hAnsi="宋体" w:eastAsia="宋体"/>
          <w:b/>
          <w:bCs/>
          <w:color w:val="000000" w:themeColor="text1"/>
          <w:kern w:val="0"/>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专业名称：</w:t>
      </w:r>
      <w:r>
        <w:rPr>
          <w:rFonts w:hint="eastAsia" w:ascii="宋体" w:hAnsi="宋体" w:eastAsia="宋体"/>
          <w:b/>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物流管理</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p>
    <w:p>
      <w:pPr>
        <w:widowControl/>
        <w:spacing w:line="800" w:lineRule="exact"/>
        <w:ind w:firstLine="1275" w:firstLineChars="397"/>
        <w:jc w:val="left"/>
        <w:rPr>
          <w:rFonts w:ascii="宋体" w:hAnsi="宋体" w:eastAsia="宋体"/>
          <w:b/>
          <w:bCs/>
          <w:color w:val="000000" w:themeColor="text1"/>
          <w:kern w:val="0"/>
          <w:u w:val="single"/>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专业代码：</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630903</w:t>
      </w:r>
      <w:r>
        <w:rPr>
          <w:rFonts w:hint="eastAsia" w:ascii="宋体" w:hAnsi="宋体" w:eastAsia="宋体"/>
          <w:b/>
          <w:bCs/>
          <w:color w:val="000000" w:themeColor="text1"/>
          <w:kern w:val="0"/>
          <w:u w:val="single"/>
          <w14:textFill>
            <w14:solidFill>
              <w14:schemeClr w14:val="tx1"/>
            </w14:solidFill>
          </w14:textFill>
        </w:rPr>
        <w:t xml:space="preserve">          </w:t>
      </w:r>
    </w:p>
    <w:p>
      <w:pPr>
        <w:widowControl/>
        <w:spacing w:line="800" w:lineRule="exact"/>
        <w:ind w:firstLine="1275" w:firstLineChars="397"/>
        <w:jc w:val="left"/>
        <w:rPr>
          <w:rFonts w:ascii="宋体" w:hAnsi="宋体" w:eastAsia="宋体"/>
          <w:b/>
          <w:color w:val="000000" w:themeColor="text1"/>
          <w:kern w:val="0"/>
          <w:u w:val="single"/>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制定院系：</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行知管理学院</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Cs/>
          <w:color w:val="000000" w:themeColor="text1"/>
          <w:kern w:val="0"/>
          <w:u w:val="single"/>
          <w14:textFill>
            <w14:solidFill>
              <w14:schemeClr w14:val="tx1"/>
            </w14:solidFill>
          </w14:textFill>
        </w:rPr>
        <w:t xml:space="preserve"> </w:t>
      </w:r>
    </w:p>
    <w:p>
      <w:pPr>
        <w:widowControl/>
        <w:spacing w:line="800" w:lineRule="exact"/>
        <w:ind w:firstLine="1275" w:firstLineChars="397"/>
        <w:jc w:val="left"/>
        <w:rPr>
          <w:rFonts w:ascii="宋体" w:hAnsi="宋体" w:eastAsia="宋体"/>
          <w:b/>
          <w:color w:val="000000" w:themeColor="text1"/>
          <w:kern w:val="0"/>
          <w:u w:val="single"/>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制定时间：</w:t>
      </w:r>
      <w:r>
        <w:rPr>
          <w:rFonts w:hint="eastAsia" w:ascii="宋体" w:hAnsi="宋体" w:eastAsia="宋体"/>
          <w:b/>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20</w:t>
      </w:r>
      <w:r>
        <w:rPr>
          <w:rFonts w:hint="eastAsia" w:ascii="宋体" w:hAnsi="宋体" w:eastAsia="宋体"/>
          <w:b/>
          <w:bCs/>
          <w:color w:val="000000" w:themeColor="text1"/>
          <w:kern w:val="0"/>
          <w:u w:val="single"/>
          <w:lang w:val="en-US" w:eastAsia="zh-CN"/>
          <w14:textFill>
            <w14:solidFill>
              <w14:schemeClr w14:val="tx1"/>
            </w14:solidFill>
          </w14:textFill>
        </w:rPr>
        <w:t>20</w:t>
      </w:r>
      <w:r>
        <w:rPr>
          <w:rFonts w:hint="eastAsia" w:ascii="宋体" w:hAnsi="宋体" w:eastAsia="宋体"/>
          <w:b/>
          <w:bCs/>
          <w:color w:val="000000" w:themeColor="text1"/>
          <w:kern w:val="0"/>
          <w:u w:val="single"/>
          <w14:textFill>
            <w14:solidFill>
              <w14:schemeClr w14:val="tx1"/>
            </w14:solidFill>
          </w14:textFill>
        </w:rPr>
        <w:t>年</w:t>
      </w:r>
      <w:r>
        <w:rPr>
          <w:rFonts w:hint="eastAsia" w:ascii="宋体" w:hAnsi="宋体" w:eastAsia="宋体"/>
          <w:b/>
          <w:bCs/>
          <w:color w:val="000000" w:themeColor="text1"/>
          <w:kern w:val="0"/>
          <w:u w:val="single"/>
          <w:lang w:val="en-US" w:eastAsia="zh-CN"/>
          <w14:textFill>
            <w14:solidFill>
              <w14:schemeClr w14:val="tx1"/>
            </w14:solidFill>
          </w14:textFill>
        </w:rPr>
        <w:t>5</w:t>
      </w:r>
      <w:r>
        <w:rPr>
          <w:rFonts w:hint="eastAsia" w:ascii="宋体" w:hAnsi="宋体" w:eastAsia="宋体"/>
          <w:b/>
          <w:bCs/>
          <w:color w:val="000000" w:themeColor="text1"/>
          <w:kern w:val="0"/>
          <w:u w:val="single"/>
          <w14:textFill>
            <w14:solidFill>
              <w14:schemeClr w14:val="tx1"/>
            </w14:solidFill>
          </w14:textFill>
        </w:rPr>
        <w:t xml:space="preserve">月   </w:t>
      </w:r>
      <w:r>
        <w:rPr>
          <w:rFonts w:hint="eastAsia" w:ascii="宋体" w:hAnsi="宋体" w:eastAsia="宋体"/>
          <w:b/>
          <w:bCs/>
          <w:color w:val="000000" w:themeColor="text1"/>
          <w:kern w:val="0"/>
          <w:u w:val="single"/>
          <w:lang w:val="en-US" w:eastAsia="zh-CN"/>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color w:val="000000" w:themeColor="text1"/>
          <w:kern w:val="0"/>
          <w:u w:val="single"/>
          <w14:textFill>
            <w14:solidFill>
              <w14:schemeClr w14:val="tx1"/>
            </w14:solidFill>
          </w14:textFill>
        </w:rPr>
        <w:t xml:space="preserve"> </w:t>
      </w:r>
    </w:p>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安徽财贸职业学院</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2020级三年制（高职）物流管理（分类考试）专业</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人才培养方案</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一、</w:t>
      </w:r>
      <w:r>
        <w:rPr>
          <w:rFonts w:hint="eastAsia" w:asciiTheme="majorEastAsia" w:hAnsiTheme="majorEastAsia" w:eastAsiaTheme="majorEastAsia" w:cstheme="majorEastAsia"/>
          <w:b/>
          <w:bCs/>
          <w:color w:val="000000" w:themeColor="text1"/>
          <w:sz w:val="28"/>
          <w:szCs w:val="28"/>
          <w14:textFill>
            <w14:solidFill>
              <w14:schemeClr w14:val="tx1"/>
            </w14:solidFill>
          </w14:textFill>
        </w:rPr>
        <w:t>专业名称</w:t>
      </w: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及代码</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物流管理</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630903</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二、教育类型及学历层次</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全日制，专科。</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三、入学条件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应历届普通高中毕业生（含具有高中阶段学历的农民工、退役士兵、企事业单位在职职工、失业人员等）。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四、学制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三年。</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五、职业面向</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表1：本专业职业面向</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1276"/>
        <w:gridCol w:w="1276"/>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所属专业大类</w:t>
            </w:r>
          </w:p>
        </w:tc>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所属</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专业类</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对应行业</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主要职业类别</w:t>
            </w:r>
          </w:p>
        </w:tc>
        <w:tc>
          <w:tcPr>
            <w:tcW w:w="170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主要岗位类别（或技术领域）举例</w:t>
            </w:r>
          </w:p>
        </w:tc>
        <w:tc>
          <w:tcPr>
            <w:tcW w:w="184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职业资格（职业技能等级）证书举例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13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财经商贸大类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（63）</w:t>
            </w:r>
          </w:p>
        </w:tc>
        <w:tc>
          <w:tcPr>
            <w:tcW w:w="113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物流类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（6309）</w:t>
            </w:r>
          </w:p>
        </w:tc>
        <w:tc>
          <w:tcPr>
            <w:tcW w:w="127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F-批发与零售业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G-交通运输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G-59-仓储业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G-6020-快递业</w:t>
            </w:r>
          </w:p>
        </w:tc>
        <w:tc>
          <w:tcPr>
            <w:tcW w:w="127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4-01-01采购人员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4-01-05特殊物品购销人员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4-02-02道路运输服务人员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4-02-03水上运输服务人员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4-02-05装卸搬运和运输代理服务人员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4-02-06仓储人员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4-02-07邮政和快递服务人员</w:t>
            </w:r>
          </w:p>
        </w:tc>
        <w:tc>
          <w:tcPr>
            <w:tcW w:w="170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4-01-01-00采购员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4-02-02-04道路货运业务员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4-02-02-05道路运输业务员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4-02-03-02船舶业务员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4-02-05-03运输代理服务员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4-02-05-04危险货物运输作业员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4-02-06-01仓储管理员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4-02-06-2理货员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4-02-06-03物流服务师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4-02-06-04冷藏工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4-02-07-02邮件分拣员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4-02-07-03邮件转运员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4-02-07-04邮政投递员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4-02-07-08快递员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4-02-07-09快件处理员</w:t>
            </w:r>
          </w:p>
        </w:tc>
        <w:tc>
          <w:tcPr>
            <w:tcW w:w="184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1.物流从业人员职业能力等级认证（助理级）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2.采购从业人员职业能力等级认证（助理级）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物流管理职业技能等级证书（中级）</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六、培养目标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专业培养德、智、体、美全面发展，践行新时代中国特色社会主义核心价值观，具有一定的文化水平、良好的职业道德和人文素养，掌握仓储管理、运输管理、供应链管理等专业知识和技术技能，面向仓储、配送、运输、采购与供应、销售、生产等行业，能够从事仓储管理、物流管理、运输管理、采购管理、供应链管理、物流项目/服务营销等工作的复合型技术技能人才。</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七、培养规格</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本专业毕业生应在素质、知识和能力等方面达到以下要求。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（一）素质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1.思想政治素质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坚定拥护中国共产党领导，树立中国特色社会主义共同理想，热爱祖国，具有中华民族自豪感；能够准确理解和把握习近平新时代中国特色社会主义思想的深刻内涵和实践要求；树立社会主义法制观念和正确的权利义务观念，遵纪守法；具有正确的世界观、人生观、价值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2.文化素质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能够熟练运用汉语进行口语和书面的表达与交流；具备一定的文学、艺术、历史、自然科学常识等人文素养；养成经验积累和探究学习的习惯，具有终身学习的意识；具有社会责任感和社会参与意识。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3.职业素质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具备良好的职业道德，能够热爱本职工作，诚实守信；具有较扎实的专业岗位知识和专业技能，掌握行业的发展方向，具有科学精神和求知欲望；具有工匠精神，能够吃苦耐劳、恪尽职守、精益求精；具有创新创业意识，具备开创性的思想、观念、个性、意志、作风和品质；具有信息素养，能够有效地选择、查找及评估各种信息资源；具有针对工作的主动性、针对发展的自觉性，具备竞争意识及对成就的向往和追求精神；具有质量意识、安全意识、服务意识和环保意识，具有强烈的责任心和公益心。</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4.身心素质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达到《国家学生体质健康标准》，养成良好的健身与卫生习惯。具有健康的体魄、积极的心态、良好的心理和健全的人格。能够快速适应职场环境，对工作、学习、生活中出现的挫折和压力，进行心理调适和情绪管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（二）知识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1.了解与本专业相关的法律法规；</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2.掌握应用</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文</w:t>
      </w:r>
      <w:r>
        <w:rPr>
          <w:rFonts w:hint="eastAsia" w:asciiTheme="minorEastAsia" w:hAnsiTheme="minorEastAsia" w:eastAsiaTheme="minorEastAsia" w:cstheme="minorEastAsia"/>
          <w:color w:val="000000" w:themeColor="text1"/>
          <w:sz w:val="24"/>
          <w14:textFill>
            <w14:solidFill>
              <w14:schemeClr w14:val="tx1"/>
            </w14:solidFill>
          </w14:textFill>
        </w:rPr>
        <w:t>写作、计算机应用等基础知识；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3.掌握</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管理</w:t>
      </w:r>
      <w:r>
        <w:rPr>
          <w:rFonts w:hint="eastAsia" w:asciiTheme="minorEastAsia" w:hAnsiTheme="minorEastAsia" w:eastAsiaTheme="minorEastAsia" w:cstheme="minorEastAsia"/>
          <w:color w:val="000000" w:themeColor="text1"/>
          <w:sz w:val="24"/>
          <w14:textFill>
            <w14:solidFill>
              <w14:schemeClr w14:val="tx1"/>
            </w14:solidFill>
          </w14:textFill>
        </w:rPr>
        <w:t>学、商品学等专业基础知识；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4.掌握物流管理的基本知识与方法；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5.掌握仓储管理、运输管理</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买手实务、快递实务</w:t>
      </w:r>
      <w:r>
        <w:rPr>
          <w:rFonts w:hint="eastAsia" w:asciiTheme="minorEastAsia" w:hAnsiTheme="minorEastAsia" w:eastAsiaTheme="minorEastAsia" w:cstheme="minorEastAsia"/>
          <w:color w:val="000000" w:themeColor="text1"/>
          <w:sz w:val="24"/>
          <w14:textFill>
            <w14:solidFill>
              <w14:schemeClr w14:val="tx1"/>
            </w14:solidFill>
          </w14:textFill>
        </w:rPr>
        <w:t>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6.掌握物流营销、供应链管理的基本知识与方法；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7.了解现代物流发展新知识、新技术、新趋势；</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14:textFill>
            <w14:solidFill>
              <w14:schemeClr w14:val="tx1"/>
            </w14:solidFill>
          </w14:textFill>
        </w:rPr>
        <w:t>.掌握物流基本理论及新技术、新业态、新模式等基本理论和互联网思维下的物流与供应链管理知识。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（三）能力</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能够熟练使用物流管理类各种工具软件；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能够在生产、加工、储藏、运输、销售等领域的物流相关基层岗位的进行作业执行与操作；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能够开展各项物流基层作业的运营管理、资源协调、信息管理和质量管理；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能够进行物流采购、服务/项目营销、客户管理、供应链管理等活动；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能够组织实施信息搜集、数据分析与应用、团队建设与管理；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能熟练应用办公软件，进行文档排版、简单地数据分析与方案演示等；</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能运用语言交流技巧且通俗易懂地开展专业工作；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8</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计算机、互联网等信息技术应用</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9</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具有探究学习和终身学习的能力。</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八、人才培养模式</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四融合、五递进”的人才培养模式。即：将技能与素养、理论与实践、学校与企业、课程学习与职业资格证书这四个方面融合起来，按照专业认知、专业基础学习、专业模块学习、职业定位专项实习、顶岗实习这五个层次逐层递进培养人才，提高学生的综合素质。</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九、学生应修学分或应修读的课程</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本专业教学计划进程表中设公共基础课、专业基础课、专业核心课、专业拓展课和综合技能五个模块。</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（一）公共基础课模块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思想道德修养与法律基础、职业生涯规划、形势与政策、毛泽东思想和中国特色社会主义理论体系概论、军事理论、心理健康教育、就业指导、劳动教育、职业基本素养、大学生美育教育、创新创业教育、体育与健康、大学英语、高等数学、计算机应用基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（二）专业基础课模块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管理学基础、应用文写作、商品学基础、财务报表精读与分析、物流管理基础、电子商务概论和物流英语（二选一）、物流客户关系管理和物流细分领域标杆企业调查分析（二选一）等课程。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（三）专业核心课模块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仓储管理、运输管理、采购与供应链管理、物流营销、物流信息技术、冷链物流运营管理、</w:t>
      </w:r>
      <w:r>
        <w:rPr>
          <w:rFonts w:hint="eastAsia" w:ascii="宋体" w:hAnsi="宋体" w:eastAsia="宋体" w:cs="宋体"/>
          <w:sz w:val="24"/>
          <w:szCs w:val="24"/>
        </w:rPr>
        <w:t>Excel在物流中的应用</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和物流园区规划与设计（二选一）等课程。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（四）专业拓展课模块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买手实务、智慧物流校内实训、物流职业技能等级认证、配送中心运营与管理、一体化物流校外实训、快递实务和物流案例与实践（二选一）、物流绩效管理和第三方物流（二选一），以及第3学期和第4学期分别任选1门选修课。</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（五）综合技能模块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跟岗实习、顶岗实习、毕业实习报告等。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十、核心课程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表2：本专业核心课程名称及主要教学内容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611"/>
        <w:gridCol w:w="5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3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序号</w:t>
            </w:r>
          </w:p>
        </w:tc>
        <w:tc>
          <w:tcPr>
            <w:tcW w:w="261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核心课程</w:t>
            </w:r>
          </w:p>
        </w:tc>
        <w:tc>
          <w:tcPr>
            <w:tcW w:w="517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《仓储管理》</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仓储</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lang w:eastAsia="zh-CN"/>
                <w14:textFill>
                  <w14:solidFill>
                    <w14:schemeClr w14:val="tx1"/>
                  </w14:solidFill>
                </w14:textFill>
              </w:rPr>
              <w:t>概念、</w:t>
            </w:r>
            <w:r>
              <w:rPr>
                <w:rFonts w:hint="eastAsia" w:ascii="宋体" w:hAnsi="宋体" w:eastAsia="宋体" w:cs="宋体"/>
                <w:color w:val="000000" w:themeColor="text1"/>
                <w:sz w:val="21"/>
                <w:szCs w:val="21"/>
                <w:lang w:val="en-US" w:eastAsia="zh-CN"/>
                <w14:textFill>
                  <w14:solidFill>
                    <w14:schemeClr w14:val="tx1"/>
                  </w14:solidFill>
                </w14:textFill>
              </w:rPr>
              <w:t>仓库常见设备、</w:t>
            </w:r>
            <w:r>
              <w:rPr>
                <w:rFonts w:hint="eastAsia" w:ascii="宋体" w:hAnsi="宋体" w:eastAsia="宋体" w:cs="宋体"/>
                <w:color w:val="000000" w:themeColor="text1"/>
                <w:sz w:val="21"/>
                <w:szCs w:val="21"/>
                <w:lang w:eastAsia="zh-CN"/>
                <w14:textFill>
                  <w14:solidFill>
                    <w14:schemeClr w14:val="tx1"/>
                  </w14:solidFill>
                </w14:textFill>
              </w:rPr>
              <w:t>入库作业组织、在库作业组织、出库作业组织、</w:t>
            </w:r>
            <w:r>
              <w:rPr>
                <w:rFonts w:hint="eastAsia" w:ascii="宋体" w:hAnsi="宋体" w:eastAsia="宋体" w:cs="宋体"/>
                <w:color w:val="000000" w:themeColor="text1"/>
                <w:sz w:val="21"/>
                <w:szCs w:val="21"/>
                <w:lang w:val="en-US" w:eastAsia="zh-CN"/>
                <w14:textFill>
                  <w14:solidFill>
                    <w14:schemeClr w14:val="tx1"/>
                  </w14:solidFill>
                </w14:textFill>
              </w:rPr>
              <w:t>仓库的选址与规划</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WMS</w:t>
            </w:r>
            <w:r>
              <w:rPr>
                <w:rFonts w:hint="eastAsia" w:ascii="宋体" w:hAnsi="宋体" w:eastAsia="宋体" w:cs="宋体"/>
                <w:color w:val="000000" w:themeColor="text1"/>
                <w:sz w:val="21"/>
                <w:szCs w:val="21"/>
                <w:lang w:eastAsia="zh-CN"/>
                <w14:textFill>
                  <w14:solidFill>
                    <w14:schemeClr w14:val="tx1"/>
                  </w14:solidFill>
                </w14:textFill>
              </w:rPr>
              <w:t>、仓储成本管理、仓储绩效管理等。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2</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《运输管理》</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运输系统的构成要素、各种运输方式的技术经济特征、按合理的运输组织流程，处理货运组织工作、货物配载技术与配送线路优化方法等。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3</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《物流营销》</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物流</w:t>
            </w:r>
            <w:r>
              <w:rPr>
                <w:rFonts w:hint="eastAsia" w:ascii="宋体" w:hAnsi="宋体" w:eastAsia="宋体" w:cs="宋体"/>
                <w:color w:val="000000" w:themeColor="text1"/>
                <w:sz w:val="21"/>
                <w:szCs w:val="21"/>
                <w:lang w:val="en-US" w:eastAsia="zh-CN"/>
                <w14:textFill>
                  <w14:solidFill>
                    <w14:schemeClr w14:val="tx1"/>
                  </w14:solidFill>
                </w14:textFill>
              </w:rPr>
              <w:t>市场</w:t>
            </w:r>
            <w:r>
              <w:rPr>
                <w:rFonts w:hint="eastAsia" w:ascii="宋体" w:hAnsi="宋体" w:eastAsia="宋体" w:cs="宋体"/>
                <w:color w:val="000000" w:themeColor="text1"/>
                <w:sz w:val="21"/>
                <w:szCs w:val="21"/>
                <w:lang w:eastAsia="zh-CN"/>
                <w14:textFill>
                  <w14:solidFill>
                    <w14:schemeClr w14:val="tx1"/>
                  </w14:solidFill>
                </w14:textFill>
              </w:rPr>
              <w:t>营销概述、物流营销市场分析、物流目标客户选择、物流服务项目开发、物流目标客户开发、物流营销策略制定、物流客户服务管理、物流营销</w:t>
            </w:r>
            <w:r>
              <w:rPr>
                <w:rFonts w:hint="eastAsia" w:ascii="宋体" w:hAnsi="宋体" w:eastAsia="宋体" w:cs="宋体"/>
                <w:color w:val="000000" w:themeColor="text1"/>
                <w:sz w:val="21"/>
                <w:szCs w:val="21"/>
                <w:lang w:val="en-US" w:eastAsia="zh-CN"/>
                <w14:textFill>
                  <w14:solidFill>
                    <w14:schemeClr w14:val="tx1"/>
                  </w14:solidFill>
                </w14:textFill>
              </w:rPr>
              <w:t>绩效评估等。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4</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采购与</w:t>
            </w:r>
            <w:r>
              <w:rPr>
                <w:rFonts w:hint="eastAsia" w:ascii="宋体" w:hAnsi="宋体" w:eastAsia="宋体" w:cs="宋体"/>
                <w:color w:val="000000" w:themeColor="text1"/>
                <w:sz w:val="21"/>
                <w:szCs w:val="21"/>
                <w:lang w:eastAsia="zh-CN"/>
                <w14:textFill>
                  <w14:solidFill>
                    <w14:schemeClr w14:val="tx1"/>
                  </w14:solidFill>
                </w14:textFill>
              </w:rPr>
              <w:t>供应链管理</w:t>
            </w:r>
            <w:r>
              <w:rPr>
                <w:rFonts w:hint="eastAsia" w:ascii="宋体" w:hAnsi="宋体" w:eastAsia="宋体" w:cs="宋体"/>
                <w:color w:val="000000" w:themeColor="text1"/>
                <w:sz w:val="21"/>
                <w:szCs w:val="21"/>
                <w14:textFill>
                  <w14:solidFill>
                    <w14:schemeClr w14:val="tx1"/>
                  </w14:solidFill>
                </w14:textFill>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供应链</w:t>
            </w:r>
            <w:r>
              <w:rPr>
                <w:rFonts w:hint="eastAsia" w:ascii="宋体" w:hAnsi="宋体" w:eastAsia="宋体" w:cs="宋体"/>
                <w:color w:val="000000" w:themeColor="text1"/>
                <w:sz w:val="21"/>
                <w:szCs w:val="21"/>
                <w:lang w:val="en-US" w:eastAsia="zh-CN"/>
                <w14:textFill>
                  <w14:solidFill>
                    <w14:schemeClr w14:val="tx1"/>
                  </w14:solidFill>
                </w14:textFill>
              </w:rPr>
              <w:t>采购</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库存</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生产</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关系</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战略</w:t>
            </w:r>
            <w:r>
              <w:rPr>
                <w:rFonts w:hint="eastAsia" w:ascii="宋体" w:hAnsi="宋体" w:eastAsia="宋体" w:cs="宋体"/>
                <w:color w:val="000000" w:themeColor="text1"/>
                <w:sz w:val="21"/>
                <w:szCs w:val="21"/>
                <w:lang w:eastAsia="zh-CN"/>
                <w14:textFill>
                  <w14:solidFill>
                    <w14:schemeClr w14:val="tx1"/>
                  </w14:solidFill>
                </w14:textFill>
              </w:rPr>
              <w:t>管理、</w:t>
            </w:r>
            <w:r>
              <w:rPr>
                <w:rFonts w:hint="eastAsia" w:ascii="宋体" w:hAnsi="宋体" w:eastAsia="宋体" w:cs="宋体"/>
                <w:color w:val="000000" w:themeColor="text1"/>
                <w:sz w:val="21"/>
                <w:szCs w:val="21"/>
                <w:lang w:val="en-US" w:eastAsia="zh-CN"/>
                <w14:textFill>
                  <w14:solidFill>
                    <w14:schemeClr w14:val="tx1"/>
                  </w14:solidFill>
                </w14:textFill>
              </w:rPr>
              <w:t>供应链管理组织结构、供应链物流网络规划、供应链成本与绩效管理等。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5</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《冷链物流运营</w:t>
            </w:r>
            <w:r>
              <w:rPr>
                <w:rFonts w:hint="eastAsia" w:ascii="宋体" w:hAnsi="宋体" w:eastAsia="宋体" w:cs="宋体"/>
                <w:color w:val="000000" w:themeColor="text1"/>
                <w:sz w:val="21"/>
                <w:szCs w:val="21"/>
                <w:lang w:val="en-US" w:eastAsia="zh-CN"/>
                <w14:textFill>
                  <w14:solidFill>
                    <w14:schemeClr w14:val="tx1"/>
                  </w14:solidFill>
                </w14:textFill>
              </w:rPr>
              <w:t>管理</w:t>
            </w:r>
            <w:r>
              <w:rPr>
                <w:rFonts w:hint="eastAsia" w:ascii="宋体" w:hAnsi="宋体" w:eastAsia="宋体" w:cs="宋体"/>
                <w:color w:val="000000" w:themeColor="text1"/>
                <w:sz w:val="21"/>
                <w:szCs w:val="21"/>
                <w:lang w:eastAsia="zh-CN"/>
                <w14:textFill>
                  <w14:solidFill>
                    <w14:schemeClr w14:val="tx1"/>
                  </w14:solidFill>
                </w14:textFill>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冷链物流概述；冷库常识；冷库的规划、设计与建设；冷库的运作与管理；冷链运输概述；汽车、铁路、船舶及集装箱冷藏运输；肉类冷链；水产品冷链；果蔬冷链；冷饮、奶业及速冻品冷链；冷链物流企业营运与管理。</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十一、学时安排</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总学时数为2448，每</w:t>
      </w:r>
      <w:r>
        <w:rPr>
          <w:rFonts w:hint="eastAsia" w:asciiTheme="minorEastAsia" w:hAnsiTheme="minorEastAsia" w:eastAsiaTheme="minorEastAsia" w:cstheme="minorEastAsia"/>
          <w:color w:val="000000" w:themeColor="text1"/>
          <w:sz w:val="24"/>
          <w:lang w:val="en-US" w:eastAsia="en-US"/>
          <w14:textFill>
            <w14:solidFill>
              <w14:schemeClr w14:val="tx1"/>
            </w14:solidFill>
          </w14:textFill>
        </w:rPr>
        <w:t>16-18</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学时折算1学分，课时类型如下：</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表3：本专业各教学环节总课时分配表</w:t>
      </w:r>
    </w:p>
    <w:tbl>
      <w:tblPr>
        <w:tblStyle w:val="6"/>
        <w:tblW w:w="8559" w:type="dxa"/>
        <w:tblInd w:w="-100" w:type="dxa"/>
        <w:tblLayout w:type="autofit"/>
        <w:tblCellMar>
          <w:top w:w="0" w:type="dxa"/>
          <w:left w:w="0" w:type="dxa"/>
          <w:bottom w:w="0" w:type="dxa"/>
          <w:right w:w="0" w:type="dxa"/>
        </w:tblCellMar>
      </w:tblPr>
      <w:tblGrid>
        <w:gridCol w:w="3995"/>
        <w:gridCol w:w="2376"/>
        <w:gridCol w:w="2188"/>
      </w:tblGrid>
      <w:tr>
        <w:tblPrEx>
          <w:tblCellMar>
            <w:top w:w="0" w:type="dxa"/>
            <w:left w:w="0" w:type="dxa"/>
            <w:bottom w:w="0" w:type="dxa"/>
            <w:right w:w="0" w:type="dxa"/>
          </w:tblCellMar>
        </w:tblPrEx>
        <w:trPr>
          <w:trHeight w:val="397" w:hRule="atLeast"/>
        </w:trPr>
        <w:tc>
          <w:tcPr>
            <w:tcW w:w="399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项  目</w:t>
            </w:r>
          </w:p>
        </w:tc>
        <w:tc>
          <w:tcPr>
            <w:tcW w:w="2376"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课时数</w:t>
            </w:r>
          </w:p>
        </w:tc>
        <w:tc>
          <w:tcPr>
            <w:tcW w:w="218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百分比</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公共基础课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726</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29.66%</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专业基础课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360</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14.71%</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专业核心课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504</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20.59%</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专业拓展课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338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13.81%</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综合技能</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520</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21.24%</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合计</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2448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100.00%</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必修课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2088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85.29%</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限选课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288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11.76%</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任选课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72</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2.94%</w:t>
            </w:r>
          </w:p>
        </w:tc>
      </w:tr>
      <w:tr>
        <w:tblPrEx>
          <w:tblCellMar>
            <w:top w:w="0" w:type="dxa"/>
            <w:left w:w="0" w:type="dxa"/>
            <w:bottom w:w="0" w:type="dxa"/>
            <w:right w:w="0" w:type="dxa"/>
          </w:tblCellMar>
        </w:tblPrEx>
        <w:trPr>
          <w:trHeight w:val="357"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合计</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2448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100.00%</w:t>
            </w:r>
          </w:p>
        </w:tc>
      </w:tr>
    </w:tbl>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表4：本专业理论课与实训课课时分配表</w:t>
      </w:r>
    </w:p>
    <w:tbl>
      <w:tblPr>
        <w:tblStyle w:val="6"/>
        <w:tblW w:w="8578" w:type="dxa"/>
        <w:tblInd w:w="-121" w:type="dxa"/>
        <w:shd w:val="clear" w:color="auto" w:fill="auto"/>
        <w:tblLayout w:type="autofit"/>
        <w:tblCellMar>
          <w:top w:w="0" w:type="dxa"/>
          <w:left w:w="0" w:type="dxa"/>
          <w:bottom w:w="0" w:type="dxa"/>
          <w:right w:w="0" w:type="dxa"/>
        </w:tblCellMar>
      </w:tblPr>
      <w:tblGrid>
        <w:gridCol w:w="4011"/>
        <w:gridCol w:w="2389"/>
        <w:gridCol w:w="2178"/>
      </w:tblGrid>
      <w:tr>
        <w:tblPrEx>
          <w:shd w:val="clear" w:color="auto" w:fill="auto"/>
          <w:tblCellMar>
            <w:top w:w="0" w:type="dxa"/>
            <w:left w:w="0" w:type="dxa"/>
            <w:bottom w:w="0" w:type="dxa"/>
            <w:right w:w="0" w:type="dxa"/>
          </w:tblCellMar>
        </w:tblPrEx>
        <w:trPr>
          <w:trHeight w:val="365" w:hRule="atLeast"/>
        </w:trPr>
        <w:tc>
          <w:tcPr>
            <w:tcW w:w="4011"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项目</w:t>
            </w:r>
          </w:p>
        </w:tc>
        <w:tc>
          <w:tcPr>
            <w:tcW w:w="2389"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总课时数</w:t>
            </w:r>
          </w:p>
        </w:tc>
        <w:tc>
          <w:tcPr>
            <w:tcW w:w="217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百分比</w:t>
            </w:r>
          </w:p>
        </w:tc>
      </w:tr>
      <w:tr>
        <w:tblPrEx>
          <w:shd w:val="clear" w:color="auto" w:fill="auto"/>
          <w:tblCellMar>
            <w:top w:w="0" w:type="dxa"/>
            <w:left w:w="0" w:type="dxa"/>
            <w:bottom w:w="0" w:type="dxa"/>
            <w:right w:w="0" w:type="dxa"/>
          </w:tblCellMar>
        </w:tblPrEx>
        <w:trPr>
          <w:trHeight w:val="365" w:hRule="atLeast"/>
        </w:trPr>
        <w:tc>
          <w:tcPr>
            <w:tcW w:w="40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理论课时</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1060</w:t>
            </w:r>
          </w:p>
        </w:tc>
        <w:tc>
          <w:tcPr>
            <w:tcW w:w="21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43.30%</w:t>
            </w:r>
          </w:p>
        </w:tc>
      </w:tr>
      <w:tr>
        <w:tblPrEx>
          <w:tblCellMar>
            <w:top w:w="0" w:type="dxa"/>
            <w:left w:w="0" w:type="dxa"/>
            <w:bottom w:w="0" w:type="dxa"/>
            <w:right w:w="0" w:type="dxa"/>
          </w:tblCellMar>
        </w:tblPrEx>
        <w:trPr>
          <w:trHeight w:val="365" w:hRule="atLeast"/>
        </w:trPr>
        <w:tc>
          <w:tcPr>
            <w:tcW w:w="40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实践课时</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1388</w:t>
            </w:r>
          </w:p>
        </w:tc>
        <w:tc>
          <w:tcPr>
            <w:tcW w:w="21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56.70%</w:t>
            </w:r>
          </w:p>
        </w:tc>
      </w:tr>
      <w:tr>
        <w:tblPrEx>
          <w:shd w:val="clear" w:color="auto" w:fill="auto"/>
          <w:tblCellMar>
            <w:top w:w="0" w:type="dxa"/>
            <w:left w:w="0" w:type="dxa"/>
            <w:bottom w:w="0" w:type="dxa"/>
            <w:right w:w="0" w:type="dxa"/>
          </w:tblCellMar>
        </w:tblPrEx>
        <w:trPr>
          <w:trHeight w:val="376" w:hRule="atLeast"/>
        </w:trPr>
        <w:tc>
          <w:tcPr>
            <w:tcW w:w="40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2448</w:t>
            </w:r>
          </w:p>
        </w:tc>
        <w:tc>
          <w:tcPr>
            <w:tcW w:w="21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100.00%</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十二、教学进程总体安排</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bookmarkStart w:id="0" w:name="_GoBack"/>
      <w:bookmarkEnd w:id="0"/>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表5：本专业教学进程表</w:t>
      </w:r>
    </w:p>
    <w:tbl>
      <w:tblPr>
        <w:tblStyle w:val="6"/>
        <w:tblpPr w:leftFromText="180" w:rightFromText="180" w:vertAnchor="text" w:horzAnchor="page" w:tblpX="1780" w:tblpY="380"/>
        <w:tblOverlap w:val="never"/>
        <w:tblW w:w="9130" w:type="dxa"/>
        <w:tblInd w:w="0" w:type="dxa"/>
        <w:shd w:val="clear" w:color="auto" w:fill="auto"/>
        <w:tblLayout w:type="fixed"/>
        <w:tblCellMar>
          <w:top w:w="0" w:type="dxa"/>
          <w:left w:w="0" w:type="dxa"/>
          <w:bottom w:w="0" w:type="dxa"/>
          <w:right w:w="0" w:type="dxa"/>
        </w:tblCellMar>
      </w:tblPr>
      <w:tblGrid>
        <w:gridCol w:w="350"/>
        <w:gridCol w:w="350"/>
        <w:gridCol w:w="540"/>
        <w:gridCol w:w="1170"/>
        <w:gridCol w:w="450"/>
        <w:gridCol w:w="585"/>
        <w:gridCol w:w="495"/>
        <w:gridCol w:w="495"/>
        <w:gridCol w:w="450"/>
        <w:gridCol w:w="450"/>
        <w:gridCol w:w="450"/>
        <w:gridCol w:w="450"/>
        <w:gridCol w:w="450"/>
        <w:gridCol w:w="450"/>
        <w:gridCol w:w="465"/>
        <w:gridCol w:w="480"/>
        <w:gridCol w:w="1050"/>
      </w:tblGrid>
      <w:tr>
        <w:tblPrEx>
          <w:tblCellMar>
            <w:top w:w="0" w:type="dxa"/>
            <w:left w:w="0" w:type="dxa"/>
            <w:bottom w:w="0" w:type="dxa"/>
            <w:right w:w="0" w:type="dxa"/>
          </w:tblCellMar>
        </w:tblPrEx>
        <w:trPr>
          <w:trHeight w:val="285" w:hRule="atLeast"/>
        </w:trPr>
        <w:tc>
          <w:tcPr>
            <w:tcW w:w="35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课程   类别</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选修 要求</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序号</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学分</w:t>
            </w:r>
          </w:p>
        </w:tc>
        <w:tc>
          <w:tcPr>
            <w:tcW w:w="1575" w:type="dxa"/>
            <w:gridSpan w:val="3"/>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课   时   数</w:t>
            </w:r>
          </w:p>
        </w:tc>
        <w:tc>
          <w:tcPr>
            <w:tcW w:w="2700" w:type="dxa"/>
            <w:gridSpan w:val="6"/>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理论实训教学周课时</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考试考核</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备注</w:t>
            </w:r>
          </w:p>
        </w:tc>
      </w:tr>
      <w:tr>
        <w:tblPrEx>
          <w:shd w:val="clear" w:color="auto" w:fill="auto"/>
          <w:tblCellMar>
            <w:top w:w="0" w:type="dxa"/>
            <w:left w:w="0" w:type="dxa"/>
            <w:bottom w:w="0" w:type="dxa"/>
            <w:right w:w="0" w:type="dxa"/>
          </w:tblCellMar>
        </w:tblPrEx>
        <w:trPr>
          <w:trHeight w:val="28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总  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其    中</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第一学年</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第二学年</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第三学年</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考  试</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考   查</w:t>
            </w: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63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理论</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实践</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第一学期</w:t>
            </w:r>
          </w:p>
        </w:tc>
        <w:tc>
          <w:tcPr>
            <w:tcW w:w="450" w:type="dxa"/>
            <w:tcBorders>
              <w:top w:val="single" w:color="000000" w:sz="4" w:space="0"/>
              <w:left w:val="single" w:color="000000" w:sz="4" w:space="0"/>
              <w:bottom w:val="single" w:color="000000" w:sz="4" w:space="0"/>
              <w:right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第二学期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第三学期</w:t>
            </w:r>
          </w:p>
        </w:tc>
        <w:tc>
          <w:tcPr>
            <w:tcW w:w="450" w:type="dxa"/>
            <w:tcBorders>
              <w:top w:val="single" w:color="000000" w:sz="4" w:space="0"/>
              <w:left w:val="nil"/>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第四学期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第五学期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第六学期</w:t>
            </w: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3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16周</w:t>
            </w:r>
          </w:p>
        </w:tc>
        <w:tc>
          <w:tcPr>
            <w:tcW w:w="450" w:type="dxa"/>
            <w:tcBorders>
              <w:top w:val="single" w:color="000000" w:sz="4" w:space="0"/>
              <w:left w:val="single" w:color="000000" w:sz="4" w:space="0"/>
              <w:bottom w:val="single" w:color="000000" w:sz="4" w:space="0"/>
              <w:right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50" w:type="dxa"/>
            <w:tcBorders>
              <w:top w:val="single" w:color="000000" w:sz="4" w:space="0"/>
              <w:left w:val="nil"/>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85" w:hRule="atLeast"/>
        </w:trPr>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公共基础课</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思想道德修养与法律基础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w:t>
            </w: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职业生涯规划</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1-3</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形势与政策</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nil"/>
              <w:left w:val="nil"/>
              <w:bottom w:val="nil"/>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0"/>
                <w:szCs w:val="10"/>
                <w:u w:val="none"/>
                <w14:textFill>
                  <w14:solidFill>
                    <w14:schemeClr w14:val="tx1"/>
                  </w14:solidFill>
                </w14:textFill>
              </w:rPr>
            </w:pPr>
            <w:r>
              <w:rPr>
                <w:rFonts w:hint="eastAsia" w:ascii="宋体" w:hAnsi="宋体" w:eastAsia="宋体" w:cs="宋体"/>
                <w:i w:val="0"/>
                <w:color w:val="000000" w:themeColor="text1"/>
                <w:kern w:val="0"/>
                <w:sz w:val="10"/>
                <w:szCs w:val="10"/>
                <w:u w:val="none"/>
                <w:lang w:val="en-US" w:eastAsia="zh-CN" w:bidi="ar"/>
                <w14:textFill>
                  <w14:solidFill>
                    <w14:schemeClr w14:val="tx1"/>
                  </w14:solidFill>
                </w14:textFill>
              </w:rPr>
              <w:t>毛泽东思想和中国特色社会主义理论体系概论</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1-5</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军事理论</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心理健康教育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1-7</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就业指导</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劳动教育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讲座、实践教学</w:t>
            </w: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1-9</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职业基本素养</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1-10</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大学生美育教育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1-11</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创新创业教育</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1-12</w:t>
            </w:r>
          </w:p>
        </w:tc>
        <w:tc>
          <w:tcPr>
            <w:tcW w:w="117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体育与健康</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大学英语</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128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高等数学</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计算机应用基础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480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专业基础课</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2-1</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管理学基础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物流管理概论</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商品学基础</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财务报表精读与分析</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应用文写作</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第五学期物流开课建议为6周</w:t>
            </w: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130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122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8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限选课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2-6</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电子商务概论</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二选一</w:t>
            </w:r>
          </w:p>
        </w:tc>
      </w:tr>
      <w:tr>
        <w:tblPrEx>
          <w:shd w:val="clear" w:color="auto" w:fill="auto"/>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2-7</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物流英语</w:t>
            </w: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物流客户关系管理</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二选一（第五学期物流开课建议为6周）</w:t>
            </w:r>
          </w:p>
        </w:tc>
      </w:tr>
      <w:tr>
        <w:tblPrEx>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2-9</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6"/>
                <w:szCs w:val="16"/>
                <w:u w:val="none"/>
                <w14:textFill>
                  <w14:solidFill>
                    <w14:schemeClr w14:val="tx1"/>
                  </w14:solidFill>
                </w14:textFill>
              </w:rPr>
            </w:pPr>
            <w:r>
              <w:rPr>
                <w:rFonts w:hint="eastAsia" w:ascii="宋体" w:hAnsi="宋体" w:eastAsia="宋体" w:cs="宋体"/>
                <w:i w:val="0"/>
                <w:color w:val="000000" w:themeColor="text1"/>
                <w:kern w:val="0"/>
                <w:sz w:val="16"/>
                <w:szCs w:val="16"/>
                <w:u w:val="none"/>
                <w:lang w:val="en-US" w:eastAsia="zh-CN" w:bidi="ar"/>
                <w14:textFill>
                  <w14:solidFill>
                    <w14:schemeClr w14:val="tx1"/>
                  </w14:solidFill>
                </w14:textFill>
              </w:rPr>
              <w:t>物流细分领域标杆企业调查分析</w:t>
            </w: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42"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060"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176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55" w:hRule="atLeast"/>
        </w:trPr>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专业核心课</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3-1</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仓储管理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运输管理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27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采购与供应链管理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物流营销</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7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物流信息技术</w:t>
            </w:r>
          </w:p>
        </w:tc>
        <w:tc>
          <w:tcPr>
            <w:tcW w:w="450" w:type="dxa"/>
            <w:tcBorders>
              <w:top w:val="nil"/>
              <w:left w:val="nil"/>
              <w:bottom w:val="nil"/>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nil"/>
              <w:left w:val="nil"/>
              <w:bottom w:val="nil"/>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冷链物流运营管理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nil"/>
              <w:left w:val="nil"/>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45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585"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432</w:t>
            </w:r>
          </w:p>
        </w:tc>
        <w:tc>
          <w:tcPr>
            <w:tcW w:w="495"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216</w:t>
            </w:r>
          </w:p>
        </w:tc>
        <w:tc>
          <w:tcPr>
            <w:tcW w:w="495"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216</w:t>
            </w:r>
          </w:p>
        </w:tc>
        <w:tc>
          <w:tcPr>
            <w:tcW w:w="45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限选课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3-7</w:t>
            </w:r>
          </w:p>
        </w:tc>
        <w:tc>
          <w:tcPr>
            <w:tcW w:w="1170" w:type="dxa"/>
            <w:tcBorders>
              <w:top w:val="nil"/>
              <w:left w:val="nil"/>
              <w:bottom w:val="nil"/>
              <w:right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Excel在物流中的应用</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二选一</w:t>
            </w:r>
          </w:p>
        </w:tc>
      </w:tr>
      <w:tr>
        <w:tblPrEx>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3-8</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物流园区规划与设计</w:t>
            </w: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4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060"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504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专业拓展课</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买手实务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智慧物流校内实训</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1周</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物流职业技能等级认证</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配送中心运营与管理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55"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一体化物流校外实训</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2周</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第五学期物流开课建议为6周</w:t>
            </w:r>
          </w:p>
        </w:tc>
      </w:tr>
      <w:tr>
        <w:tblPrEx>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9</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158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限选课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4-6</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快递实务</w:t>
            </w: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二选一</w:t>
            </w:r>
          </w:p>
        </w:tc>
      </w:tr>
      <w:tr>
        <w:tblPrEx>
          <w:shd w:val="clear" w:color="auto" w:fill="auto"/>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4-7</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物流案例与实践</w:t>
            </w: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4-8</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物流绩效管理</w:t>
            </w: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4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二选一（第五学期物流开课建议为6周）</w:t>
            </w:r>
          </w:p>
        </w:tc>
      </w:tr>
      <w:tr>
        <w:tblPrEx>
          <w:shd w:val="clear" w:color="auto" w:fill="auto"/>
          <w:tblCellMar>
            <w:top w:w="0" w:type="dxa"/>
            <w:left w:w="0" w:type="dxa"/>
            <w:bottom w:w="0" w:type="dxa"/>
            <w:right w:w="0" w:type="dxa"/>
          </w:tblCellMar>
        </w:tblPrEx>
        <w:trPr>
          <w:trHeight w:val="30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4-9</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第三方物流</w:t>
            </w: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260"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任选课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4-10</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办公自动化</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第3、4学期分别任选1门课，每门课2学分，共计计4学分</w:t>
            </w: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4-11</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彩妆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成功学</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大学生团体心理训练</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大学生意外伤害与急救</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国学今用</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4-16</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韩语入门</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4-17</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黄梅戏赏析</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4-18</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徽商与徽文化</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4-19</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交谊舞</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4-20</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篮球</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4-21</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乒乓球</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商务礼仪</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摄影</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书法</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围棋文化与原理</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4-26</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文秘速录</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4-27</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心理学与生活</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4-28</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新闻写作规范与技巧</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4-29</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信息检索</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4-30</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演讲与口才</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4-31</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艺术欣赏</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音乐</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英式橄榄球</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4-34</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英语听力与会话</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4-35</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营销与策划</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4-36</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营养与保健学</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4-37</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影视文学欣赏</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4-38</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证券与期货</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4-39</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淑女学堂课程（上）</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4-40</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淑女学堂课程（下）</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w:t>
            </w:r>
            <w:r>
              <w:rPr>
                <w:rFonts w:hint="default" w:ascii="Times New Roman" w:hAnsi="Times New Roman" w:eastAsia="宋体" w:cs="Times New Roman"/>
                <w:i w:val="0"/>
                <w:color w:val="000000" w:themeColor="text1"/>
                <w:kern w:val="0"/>
                <w:sz w:val="20"/>
                <w:szCs w:val="20"/>
                <w:u w:val="none"/>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060" w:type="dxa"/>
            <w:gridSpan w:val="3"/>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19</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338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194</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restart"/>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综合技能</w:t>
            </w:r>
          </w:p>
        </w:tc>
        <w:tc>
          <w:tcPr>
            <w:tcW w:w="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5-1</w:t>
            </w:r>
          </w:p>
        </w:tc>
        <w:tc>
          <w:tcPr>
            <w:tcW w:w="1170" w:type="dxa"/>
            <w:tcBorders>
              <w:top w:val="nil"/>
              <w:left w:val="nil"/>
              <w:bottom w:val="nil"/>
              <w:right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跟岗实习</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8周</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5-2</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顶岗实习</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18周</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vMerge w:val="continue"/>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5-3</w:t>
            </w: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毕业实习报告</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350" w:type="dxa"/>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3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合计</w:t>
            </w:r>
          </w:p>
        </w:tc>
        <w:tc>
          <w:tcPr>
            <w:tcW w:w="171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30</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520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520</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color="auto" w:fill="auto"/>
          <w:tblCellMar>
            <w:top w:w="0" w:type="dxa"/>
            <w:left w:w="0" w:type="dxa"/>
            <w:bottom w:w="0" w:type="dxa"/>
            <w:right w:w="0" w:type="dxa"/>
          </w:tblCellMar>
        </w:tblPrEx>
        <w:trPr>
          <w:trHeight w:val="319" w:hRule="atLeast"/>
        </w:trPr>
        <w:tc>
          <w:tcPr>
            <w:tcW w:w="700" w:type="dxa"/>
            <w:gridSpan w:val="2"/>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总计</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2448</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1060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1388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27</w:t>
            </w:r>
          </w:p>
        </w:tc>
        <w:tc>
          <w:tcPr>
            <w:tcW w:w="450" w:type="dxa"/>
            <w:tcBorders>
              <w:top w:val="single" w:color="000000" w:sz="4" w:space="0"/>
              <w:left w:val="single" w:color="000000" w:sz="4" w:space="0"/>
              <w:bottom w:val="single" w:color="000000" w:sz="4" w:space="0"/>
              <w:right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23</w:t>
            </w:r>
          </w:p>
        </w:tc>
        <w:tc>
          <w:tcPr>
            <w:tcW w:w="450"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十三、实施保障</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（一）师资队伍</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教学团队现为省级教学团队，目前拥有校内专兼职教师15名，校外企业兼职教师有12人。校内专兼职教师中，有省部级教学名师2人，有3名教授和6名副教授；校内专兼职教师全部具有硕士及以上学历，有博士1人，全部为“双师型”教师。</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（二）实践教学条件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现拥有校内1个省级实习实训基地和校外2个省级实践教育基地，且我校为安徽省物流协会副会长单位和安徽省冷链物流协会副会长单位为。这一系列的实践教学条件，能进一步强化实践教学，提升学生的技能操作水平和提高学生的竞争优势。</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表6：本专业校内主要实训场地情况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277"/>
        <w:gridCol w:w="5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520" w:type="dxa"/>
            <w:gridSpan w:val="3"/>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校内主要实训基地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序号</w:t>
            </w:r>
          </w:p>
        </w:tc>
        <w:tc>
          <w:tcPr>
            <w:tcW w:w="2277"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主要实训室名称</w:t>
            </w:r>
          </w:p>
        </w:tc>
        <w:tc>
          <w:tcPr>
            <w:tcW w:w="5505"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主要开展的实训项目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仓配实训室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出入库作业，装车和路线优化，一体化物流作业等。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2</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物流运输实训室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运输调度，合理化装车，运输线路设计等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3</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物流信息实训室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WMS、TMS等常见物流软件操作，物流方案设计等。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4</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冷链物流实训室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食品安全检测，冷储，制冷技术等。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5</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快递实训室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收发件、PDA操作、异常件处理等。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6</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1+X职业资格训练及认证场场地</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物流软件操作，仓储作业，物流安全等。</w:t>
            </w:r>
          </w:p>
        </w:tc>
      </w:tr>
    </w:tbl>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（三）教学资源</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课程教材选择严格遵循学校规定，选择近五年内的优质高职高专类规划教材。同时，联合企业共同开发课程和实习实训教材，设计技能考核办法和职业认证体系，制作专业核心课程的教学大纲、教学内容、教案与电子课件、实习实训指导书、考试系统与试题库及教学评价体系等；并在利用现有的开放网络教学资源的基础上，结合我校物流管理专业的发展与特性，积极储备并不断丰富在线开放课程资源，这些教学资源，能够满足学生专业学习、教师专业教学研究、教学实施和社会服务的需要。</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（四）教学方法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教学团队大力开展教学手段与方法的改革，实施以真实工作任务为载体的教学手段，形成多元化的教学方法，体现基于工作过程的教学指导思想。采用多媒体、计算机网络、云课堂等现代化教学手段，勇于探索各种信息化教学新模式，开展互动式教学、案例教学及仿真模拟实训，发挥学生的主观能动性，培养学生创新和实践能力。</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（五）教学评价</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目前，我校物流管理专业采用麦可思提供的教学质量管理平台实现对教师教学和学生学习的评价方式，能够收到较好的反馈效果。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1.课程考核分为考试和考查二种，形式多样，可以通过纸质试卷、计算机模拟、现场实操、方案、报告等多种方式进行。</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2.我校是教育部物流管理首批1+X</w:t>
      </w:r>
      <w:r>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t>证书制度试点院校</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之一，职业资格认证考核评价严格参照国家职业资格证书考核标准进行。</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（六）质量管理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注重加强教学质量保障体系建设，建立健全相应激励机制，成立包括教学副院长、教研室主任和教学督导组等人员在内的教学质量监控小组，及时收集教学信息，开展各种形式的教学质量监控工作，在教学质量的评估过程中，推行教学互评制度，实行教师自查、互评，实施教评学、学评教。</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定期召开教学例会，对存在的问题及时研究解决，有针对性地进行改进，了解学生对专业建设和教学管理的建议，了解用人单位的意见和要求，不断修订人才培养方案，推进教学改革，提高人才培养质量。</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十四、毕业要求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（一）学分要求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本专业毕业要求是通过3年的学习，要修满142学分、2448课时，完成规定的教学活动，毕业时达到相应的素质、知识和能力等方面的要求。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（二）职业资格证书要求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学生在毕业前，考取物流管理职业技能等级证书（中级）或</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采购从业人员职业能力等级认证（助理级）</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等物流行业现有资格证书。</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十五、编制说明</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本次物流管理专业人才培养方案设计，是在对物流行业标杆企业和我校物流类毕业生问卷调研分析的基础上，由专业教师与企业专家共同研讨制定，并经我校物流管理专业教学委员会论证。</w:t>
      </w:r>
    </w:p>
    <w:p>
      <w:pPr>
        <w:spacing w:line="360" w:lineRule="auto"/>
        <w:ind w:firstLine="480" w:firstLineChars="200"/>
        <w:rPr>
          <w:rFonts w:hint="eastAsia" w:ascii="宋体" w:hAnsi="宋体"/>
          <w:color w:val="000000" w:themeColor="text1"/>
          <w:sz w:val="24"/>
          <w14:textFill>
            <w14:solidFill>
              <w14:schemeClr w14:val="tx1"/>
            </w14:solidFill>
          </w14:textFill>
        </w:rPr>
      </w:pPr>
    </w:p>
    <w:p>
      <w:pPr>
        <w:spacing w:line="360" w:lineRule="auto"/>
        <w:ind w:firstLine="480" w:firstLineChars="200"/>
        <w:rPr>
          <w:rFonts w:hint="eastAsia" w:ascii="宋体" w:hAnsi="宋体"/>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物流管理教研室</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二〇二〇年五月</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743DD"/>
    <w:rsid w:val="003D27FA"/>
    <w:rsid w:val="00420B14"/>
    <w:rsid w:val="004E3571"/>
    <w:rsid w:val="00526E1D"/>
    <w:rsid w:val="006C126F"/>
    <w:rsid w:val="007F37AB"/>
    <w:rsid w:val="008317D9"/>
    <w:rsid w:val="00865F84"/>
    <w:rsid w:val="00A350D4"/>
    <w:rsid w:val="00BB0C4A"/>
    <w:rsid w:val="00C66C97"/>
    <w:rsid w:val="058711A1"/>
    <w:rsid w:val="068D1A90"/>
    <w:rsid w:val="06CE48D3"/>
    <w:rsid w:val="099C4B91"/>
    <w:rsid w:val="09EE3BFA"/>
    <w:rsid w:val="09FB137A"/>
    <w:rsid w:val="0BBF0FE2"/>
    <w:rsid w:val="0C0F061A"/>
    <w:rsid w:val="11CA79A0"/>
    <w:rsid w:val="13004824"/>
    <w:rsid w:val="158A6BA9"/>
    <w:rsid w:val="18831B61"/>
    <w:rsid w:val="19A96383"/>
    <w:rsid w:val="20C12AB9"/>
    <w:rsid w:val="225A135C"/>
    <w:rsid w:val="297402AF"/>
    <w:rsid w:val="2A301FA1"/>
    <w:rsid w:val="2BD1780A"/>
    <w:rsid w:val="2C182035"/>
    <w:rsid w:val="2D88600D"/>
    <w:rsid w:val="2F2118F0"/>
    <w:rsid w:val="2FBE6366"/>
    <w:rsid w:val="33D81AF1"/>
    <w:rsid w:val="3B415A14"/>
    <w:rsid w:val="3DCD4417"/>
    <w:rsid w:val="43C42E54"/>
    <w:rsid w:val="44D7682C"/>
    <w:rsid w:val="45B87D07"/>
    <w:rsid w:val="46632BA4"/>
    <w:rsid w:val="46BD1446"/>
    <w:rsid w:val="49C240A5"/>
    <w:rsid w:val="4AC07A7E"/>
    <w:rsid w:val="4F4C6D6C"/>
    <w:rsid w:val="51210317"/>
    <w:rsid w:val="5A3B4EC1"/>
    <w:rsid w:val="5A916A6E"/>
    <w:rsid w:val="5CC22C45"/>
    <w:rsid w:val="65356C27"/>
    <w:rsid w:val="66D816DA"/>
    <w:rsid w:val="6FF06285"/>
    <w:rsid w:val="7CE93D17"/>
    <w:rsid w:val="7D081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iPriority w:val="0"/>
    <w:rPr>
      <w:rFonts w:ascii="宋体" w:hAnsi="Courier New" w:eastAsia="宋体" w:cs="Courier New"/>
      <w:sz w:val="21"/>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Char"/>
    <w:basedOn w:val="8"/>
    <w:link w:val="3"/>
    <w:semiHidden/>
    <w:qFormat/>
    <w:uiPriority w:val="99"/>
    <w:rPr>
      <w:rFonts w:ascii="Times New Roman" w:hAnsi="Times New Roman" w:eastAsia="仿宋_GB2312" w:cs="Times New Roman"/>
      <w:sz w:val="18"/>
      <w:szCs w:val="18"/>
    </w:rPr>
  </w:style>
  <w:style w:type="character" w:customStyle="1" w:styleId="10">
    <w:name w:val="页眉 Char"/>
    <w:basedOn w:val="8"/>
    <w:link w:val="5"/>
    <w:qFormat/>
    <w:uiPriority w:val="99"/>
    <w:rPr>
      <w:rFonts w:ascii="Times New Roman" w:hAnsi="Times New Roman" w:eastAsia="仿宋_GB2312" w:cs="Times New Roman"/>
      <w:sz w:val="18"/>
      <w:szCs w:val="18"/>
    </w:rPr>
  </w:style>
  <w:style w:type="character" w:customStyle="1" w:styleId="11">
    <w:name w:val="页脚 Char"/>
    <w:basedOn w:val="8"/>
    <w:link w:val="4"/>
    <w:qFormat/>
    <w:uiPriority w:val="99"/>
    <w:rPr>
      <w:rFonts w:ascii="Times New Roman" w:hAnsi="Times New Roman" w:eastAsia="仿宋_GB2312" w:cs="Times New Roman"/>
      <w:sz w:val="18"/>
      <w:szCs w:val="18"/>
    </w:rPr>
  </w:style>
  <w:style w:type="character" w:customStyle="1" w:styleId="12">
    <w:name w:val="font01"/>
    <w:basedOn w:val="8"/>
    <w:qFormat/>
    <w:uiPriority w:val="0"/>
    <w:rPr>
      <w:rFonts w:hint="default" w:ascii="Times New Roman" w:hAnsi="Times New Roman" w:cs="Times New Roman"/>
      <w:color w:val="000000"/>
      <w:sz w:val="20"/>
      <w:szCs w:val="20"/>
      <w:u w:val="none"/>
    </w:rPr>
  </w:style>
  <w:style w:type="character" w:customStyle="1" w:styleId="13">
    <w:name w:val="font3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default" w:ascii="Times New Roman" w:hAnsi="Times New Roman" w:cs="Times New Roman"/>
      <w:color w:val="000000"/>
      <w:sz w:val="20"/>
      <w:szCs w:val="20"/>
      <w:u w:val="none"/>
    </w:rPr>
  </w:style>
  <w:style w:type="character" w:customStyle="1" w:styleId="15">
    <w:name w:val="font4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47</Words>
  <Characters>274</Characters>
  <Lines>2</Lines>
  <Paragraphs>1</Paragraphs>
  <TotalTime>1</TotalTime>
  <ScaleCrop>false</ScaleCrop>
  <LinksUpToDate>false</LinksUpToDate>
  <CharactersWithSpaces>320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2019-08-30T02:09:00Z</dcterms:created>
  <dc:creator>濮光宁</dc:creator>
  <cp:lastModifiedBy>曹金新</cp:lastModifiedBy>
  <cp:lastPrinted>2019-08-30T02:38:00Z</cp:lastPrinted>
  <dcterms:modified xsi:type="dcterms:W3CDTF">2020-06-23T08:23:35Z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