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624" w:beforeLines="200"/>
        <w:jc w:val="left"/>
        <w:rPr>
          <w:rFonts w:ascii="宋体" w:hAnsi="宋体" w:eastAsia="宋体"/>
          <w:b/>
          <w:kern w:val="0"/>
          <w:sz w:val="44"/>
          <w:szCs w:val="44"/>
        </w:rPr>
      </w:pPr>
      <w:r>
        <w:rPr>
          <w:rFonts w:hint="eastAsia" w:ascii="黑体" w:hAnsi="黑体" w:eastAsia="黑体"/>
          <w:b/>
          <w:sz w:val="56"/>
          <w:szCs w:val="72"/>
        </w:rPr>
        <w:drawing>
          <wp:anchor distT="0" distB="0" distL="114300" distR="114300" simplePos="0" relativeHeight="251659264" behindDoc="0" locked="0" layoutInCell="1" allowOverlap="1">
            <wp:simplePos x="0" y="0"/>
            <wp:positionH relativeFrom="column">
              <wp:posOffset>142240</wp:posOffset>
            </wp:positionH>
            <wp:positionV relativeFrom="paragraph">
              <wp:posOffset>656590</wp:posOffset>
            </wp:positionV>
            <wp:extent cx="638175" cy="638175"/>
            <wp:effectExtent l="0" t="0" r="9525" b="9525"/>
            <wp:wrapSquare wrapText="bothSides"/>
            <wp:docPr id="1" name="图片 2" descr="t013cf7df1e0df295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t013cf7df1e0df2954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638175" cy="638175"/>
                    </a:xfrm>
                    <a:prstGeom prst="rect">
                      <a:avLst/>
                    </a:prstGeom>
                    <a:noFill/>
                    <a:ln w="9525" cmpd="sng">
                      <a:noFill/>
                      <a:miter lim="800000"/>
                      <a:headEnd/>
                      <a:tailEnd/>
                    </a:ln>
                  </pic:spPr>
                </pic:pic>
              </a:graphicData>
            </a:graphic>
          </wp:anchor>
        </w:drawing>
      </w:r>
      <w:r>
        <w:rPr>
          <w:rFonts w:hint="eastAsia" w:ascii="宋体" w:hAnsi="宋体" w:eastAsia="宋体"/>
          <w:b/>
          <w:kern w:val="0"/>
          <w:sz w:val="44"/>
          <w:szCs w:val="44"/>
        </w:rPr>
        <w:t xml:space="preserve"> </w:t>
      </w:r>
    </w:p>
    <w:p>
      <w:pPr>
        <w:widowControl/>
        <w:spacing w:before="624" w:beforeLines="200"/>
        <w:jc w:val="center"/>
        <w:rPr>
          <w:rFonts w:ascii="宋体" w:hAnsi="宋体" w:eastAsia="宋体"/>
          <w:b/>
          <w:kern w:val="0"/>
          <w:sz w:val="44"/>
          <w:szCs w:val="44"/>
        </w:rPr>
      </w:pPr>
      <w:r>
        <w:drawing>
          <wp:anchor distT="0" distB="0" distL="114300" distR="114300" simplePos="0" relativeHeight="251658240" behindDoc="0" locked="0" layoutInCell="1" allowOverlap="1">
            <wp:simplePos x="0" y="0"/>
            <wp:positionH relativeFrom="column">
              <wp:posOffset>-66040</wp:posOffset>
            </wp:positionH>
            <wp:positionV relativeFrom="paragraph">
              <wp:posOffset>45720</wp:posOffset>
            </wp:positionV>
            <wp:extent cx="2809875" cy="354965"/>
            <wp:effectExtent l="0" t="0" r="9525" b="6985"/>
            <wp:wrapSquare wrapText="bothSides"/>
            <wp:docPr id="2054" name="Picture 6" descr="院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Picture 6" descr="院名"/>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809875" cy="354965"/>
                    </a:xfrm>
                    <a:prstGeom prst="rect">
                      <a:avLst/>
                    </a:prstGeom>
                    <a:noFill/>
                  </pic:spPr>
                </pic:pic>
              </a:graphicData>
            </a:graphic>
          </wp:anchor>
        </w:drawing>
      </w:r>
    </w:p>
    <w:p>
      <w:pPr>
        <w:widowControl/>
        <w:spacing w:before="312" w:beforeLines="100"/>
        <w:jc w:val="center"/>
        <w:rPr>
          <w:rFonts w:ascii="宋体" w:hAnsi="宋体" w:eastAsia="宋体"/>
          <w:b/>
          <w:kern w:val="0"/>
          <w:sz w:val="44"/>
          <w:szCs w:val="44"/>
        </w:rPr>
      </w:pPr>
    </w:p>
    <w:p>
      <w:pPr>
        <w:widowControl/>
        <w:spacing w:before="312" w:beforeLines="100"/>
        <w:jc w:val="center"/>
        <w:rPr>
          <w:rFonts w:ascii="宋体" w:hAnsi="宋体" w:eastAsia="宋体"/>
          <w:b/>
          <w:kern w:val="0"/>
          <w:sz w:val="44"/>
          <w:szCs w:val="44"/>
        </w:rPr>
      </w:pPr>
    </w:p>
    <w:p>
      <w:pPr>
        <w:keepNext w:val="0"/>
        <w:keepLines w:val="0"/>
        <w:pageBreakBefore w:val="0"/>
        <w:widowControl/>
        <w:kinsoku/>
        <w:wordWrap/>
        <w:overflowPunct/>
        <w:topLinePunct w:val="0"/>
        <w:autoSpaceDE/>
        <w:autoSpaceDN/>
        <w:bidi w:val="0"/>
        <w:adjustRightInd/>
        <w:snapToGrid/>
        <w:spacing w:before="313" w:beforeLines="100" w:line="240" w:lineRule="auto"/>
        <w:jc w:val="center"/>
        <w:textAlignment w:val="auto"/>
        <w:rPr>
          <w:rFonts w:hint="eastAsia" w:asciiTheme="minorEastAsia" w:hAnsiTheme="minorEastAsia" w:eastAsiaTheme="minorEastAsia"/>
          <w:b/>
          <w:kern w:val="0"/>
          <w:sz w:val="44"/>
          <w:szCs w:val="44"/>
        </w:rPr>
      </w:pPr>
      <w:r>
        <w:rPr>
          <w:rFonts w:hint="eastAsia" w:asciiTheme="minorEastAsia" w:hAnsiTheme="minorEastAsia" w:eastAsiaTheme="minorEastAsia"/>
          <w:b/>
          <w:sz w:val="44"/>
          <w:szCs w:val="44"/>
        </w:rPr>
        <w:t>20</w:t>
      </w:r>
      <w:r>
        <w:rPr>
          <w:rFonts w:hint="eastAsia" w:asciiTheme="minorEastAsia" w:hAnsiTheme="minorEastAsia" w:eastAsiaTheme="minorEastAsia"/>
          <w:b/>
          <w:sz w:val="44"/>
          <w:szCs w:val="44"/>
          <w:lang w:val="en-US" w:eastAsia="zh-CN"/>
        </w:rPr>
        <w:t>20</w:t>
      </w:r>
      <w:r>
        <w:rPr>
          <w:rFonts w:hint="eastAsia" w:asciiTheme="minorEastAsia" w:hAnsiTheme="minorEastAsia" w:eastAsiaTheme="minorEastAsia"/>
          <w:b/>
          <w:kern w:val="0"/>
          <w:sz w:val="44"/>
          <w:szCs w:val="44"/>
        </w:rPr>
        <w:t>级</w:t>
      </w:r>
      <w:r>
        <w:rPr>
          <w:rFonts w:hint="eastAsia" w:asciiTheme="minorEastAsia" w:hAnsiTheme="minorEastAsia" w:eastAsiaTheme="minorEastAsia"/>
          <w:b/>
          <w:kern w:val="0"/>
          <w:sz w:val="44"/>
          <w:szCs w:val="44"/>
          <w:lang w:val="en-US" w:eastAsia="zh-CN"/>
        </w:rPr>
        <w:t>物流管理（三二转段）</w:t>
      </w:r>
      <w:r>
        <w:rPr>
          <w:rFonts w:hint="eastAsia" w:asciiTheme="minorEastAsia" w:hAnsiTheme="minorEastAsia" w:eastAsiaTheme="minorEastAsia"/>
          <w:b/>
          <w:kern w:val="0"/>
          <w:sz w:val="44"/>
          <w:szCs w:val="44"/>
        </w:rPr>
        <w:t>专业</w:t>
      </w:r>
    </w:p>
    <w:p>
      <w:pPr>
        <w:keepNext w:val="0"/>
        <w:keepLines w:val="0"/>
        <w:pageBreakBefore w:val="0"/>
        <w:widowControl/>
        <w:kinsoku/>
        <w:wordWrap/>
        <w:overflowPunct/>
        <w:topLinePunct w:val="0"/>
        <w:autoSpaceDE/>
        <w:autoSpaceDN/>
        <w:bidi w:val="0"/>
        <w:adjustRightInd/>
        <w:snapToGrid/>
        <w:spacing w:before="313" w:beforeLines="100" w:line="240" w:lineRule="auto"/>
        <w:jc w:val="center"/>
        <w:textAlignment w:val="auto"/>
        <w:rPr>
          <w:rFonts w:hint="eastAsia" w:asciiTheme="minorEastAsia" w:hAnsiTheme="minorEastAsia" w:eastAsiaTheme="minorEastAsia"/>
          <w:b/>
          <w:kern w:val="0"/>
          <w:sz w:val="44"/>
          <w:szCs w:val="44"/>
          <w:lang w:val="en-US" w:eastAsia="zh-CN"/>
        </w:rPr>
      </w:pPr>
      <w:r>
        <w:rPr>
          <w:rFonts w:hint="eastAsia" w:asciiTheme="minorEastAsia" w:hAnsiTheme="minorEastAsia" w:eastAsiaTheme="minorEastAsia"/>
          <w:b/>
          <w:kern w:val="0"/>
          <w:sz w:val="44"/>
          <w:szCs w:val="44"/>
          <w:lang w:val="en-US" w:eastAsia="zh-CN"/>
        </w:rPr>
        <w:t>人才培养方案</w:t>
      </w:r>
    </w:p>
    <w:p>
      <w:pPr>
        <w:widowControl/>
        <w:jc w:val="left"/>
        <w:rPr>
          <w:rFonts w:eastAsia="宋体"/>
          <w:kern w:val="0"/>
        </w:rPr>
      </w:pPr>
    </w:p>
    <w:p>
      <w:pPr>
        <w:widowControl/>
        <w:jc w:val="left"/>
        <w:rPr>
          <w:rFonts w:eastAsia="宋体"/>
          <w:kern w:val="0"/>
        </w:rPr>
      </w:pPr>
    </w:p>
    <w:p>
      <w:pPr>
        <w:widowControl/>
        <w:jc w:val="left"/>
        <w:rPr>
          <w:rFonts w:asciiTheme="majorEastAsia" w:hAnsiTheme="majorEastAsia" w:eastAsiaTheme="majorEastAsia"/>
          <w:kern w:val="0"/>
        </w:rPr>
      </w:pPr>
    </w:p>
    <w:p>
      <w:pPr>
        <w:widowControl/>
        <w:spacing w:line="800" w:lineRule="exact"/>
        <w:ind w:firstLine="1275" w:firstLineChars="397"/>
        <w:jc w:val="left"/>
        <w:rPr>
          <w:rFonts w:ascii="宋体" w:hAnsi="宋体" w:eastAsia="宋体"/>
          <w:b/>
          <w:bCs/>
          <w:kern w:val="0"/>
        </w:rPr>
      </w:pPr>
      <w:r>
        <w:rPr>
          <w:rFonts w:hint="eastAsia" w:ascii="宋体" w:hAnsi="宋体" w:eastAsia="宋体"/>
          <w:b/>
          <w:kern w:val="0"/>
        </w:rPr>
        <w:t>专业名称：</w:t>
      </w:r>
      <w:r>
        <w:rPr>
          <w:rFonts w:hint="eastAsia" w:ascii="宋体" w:hAnsi="宋体" w:eastAsia="宋体"/>
          <w:b/>
          <w:kern w:val="0"/>
          <w:u w:val="single"/>
        </w:rPr>
        <w:t xml:space="preserve"> </w:t>
      </w:r>
      <w:r>
        <w:rPr>
          <w:rFonts w:hint="eastAsia" w:ascii="宋体" w:hAnsi="宋体" w:eastAsia="宋体"/>
          <w:b/>
          <w:bCs/>
          <w:kern w:val="0"/>
          <w:u w:val="single"/>
        </w:rPr>
        <w:t xml:space="preserve"> </w:t>
      </w:r>
      <w:r>
        <w:rPr>
          <w:rFonts w:hint="eastAsia" w:ascii="宋体" w:hAnsi="宋体" w:eastAsia="宋体"/>
          <w:b/>
          <w:bCs/>
          <w:kern w:val="0"/>
          <w:u w:val="single"/>
          <w:lang w:val="en-US" w:eastAsia="zh-CN"/>
        </w:rPr>
        <w:t xml:space="preserve">      物流管理        </w:t>
      </w:r>
      <w:r>
        <w:rPr>
          <w:rFonts w:hint="eastAsia" w:ascii="宋体" w:hAnsi="宋体" w:eastAsia="宋体"/>
          <w:b/>
          <w:bCs/>
          <w:kern w:val="0"/>
          <w:u w:val="single"/>
        </w:rPr>
        <w:t xml:space="preserve"> </w:t>
      </w:r>
    </w:p>
    <w:p>
      <w:pPr>
        <w:widowControl/>
        <w:spacing w:line="800" w:lineRule="exact"/>
        <w:ind w:firstLine="1275" w:firstLineChars="397"/>
        <w:jc w:val="left"/>
        <w:rPr>
          <w:rFonts w:ascii="宋体" w:hAnsi="宋体" w:eastAsia="宋体"/>
          <w:b/>
          <w:bCs/>
          <w:kern w:val="0"/>
          <w:u w:val="single"/>
        </w:rPr>
      </w:pPr>
      <w:r>
        <w:rPr>
          <w:rFonts w:hint="eastAsia" w:ascii="宋体" w:hAnsi="宋体" w:eastAsia="宋体"/>
          <w:b/>
          <w:kern w:val="0"/>
        </w:rPr>
        <w:t>专业代码：</w:t>
      </w:r>
      <w:r>
        <w:rPr>
          <w:rFonts w:hint="eastAsia" w:ascii="宋体" w:hAnsi="宋体" w:eastAsia="宋体"/>
          <w:b/>
          <w:bCs/>
          <w:kern w:val="0"/>
          <w:u w:val="single"/>
        </w:rPr>
        <w:t xml:space="preserve">      </w:t>
      </w:r>
      <w:r>
        <w:rPr>
          <w:rFonts w:hint="eastAsia" w:ascii="宋体" w:hAnsi="宋体" w:eastAsia="宋体"/>
          <w:b/>
          <w:bCs/>
          <w:kern w:val="0"/>
          <w:u w:val="single"/>
          <w:lang w:val="en-US" w:eastAsia="zh-CN"/>
        </w:rPr>
        <w:t xml:space="preserve">  </w:t>
      </w:r>
      <w:r>
        <w:rPr>
          <w:rFonts w:hint="eastAsia" w:ascii="宋体" w:hAnsi="宋体" w:eastAsia="宋体"/>
          <w:b/>
          <w:bCs/>
          <w:kern w:val="0"/>
          <w:u w:val="single"/>
        </w:rPr>
        <w:t xml:space="preserve"> </w:t>
      </w:r>
      <w:r>
        <w:rPr>
          <w:rFonts w:hint="eastAsia" w:ascii="宋体" w:hAnsi="宋体" w:eastAsia="宋体"/>
          <w:b/>
          <w:bCs/>
          <w:kern w:val="0"/>
          <w:u w:val="single"/>
          <w:lang w:val="en-US" w:eastAsia="zh-CN"/>
        </w:rPr>
        <w:t>630903</w:t>
      </w:r>
      <w:r>
        <w:rPr>
          <w:rFonts w:hint="eastAsia" w:ascii="宋体" w:hAnsi="宋体" w:eastAsia="宋体"/>
          <w:b/>
          <w:bCs/>
          <w:kern w:val="0"/>
          <w:u w:val="single"/>
        </w:rPr>
        <w:t xml:space="preserve">          </w:t>
      </w:r>
    </w:p>
    <w:p>
      <w:pPr>
        <w:widowControl/>
        <w:spacing w:line="800" w:lineRule="exact"/>
        <w:ind w:firstLine="1275" w:firstLineChars="397"/>
        <w:jc w:val="left"/>
        <w:rPr>
          <w:rFonts w:ascii="宋体" w:hAnsi="宋体" w:eastAsia="宋体"/>
          <w:b/>
          <w:kern w:val="0"/>
          <w:u w:val="single"/>
        </w:rPr>
      </w:pPr>
      <w:r>
        <w:rPr>
          <w:rFonts w:hint="eastAsia" w:ascii="宋体" w:hAnsi="宋体" w:eastAsia="宋体"/>
          <w:b/>
          <w:kern w:val="0"/>
        </w:rPr>
        <w:t>制定院系：</w:t>
      </w:r>
      <w:r>
        <w:rPr>
          <w:rFonts w:hint="eastAsia" w:ascii="宋体" w:hAnsi="宋体" w:eastAsia="宋体"/>
          <w:b/>
          <w:bCs/>
          <w:kern w:val="0"/>
          <w:u w:val="single"/>
        </w:rPr>
        <w:t xml:space="preserve">     </w:t>
      </w:r>
      <w:r>
        <w:rPr>
          <w:rFonts w:hint="eastAsia" w:ascii="宋体" w:hAnsi="宋体" w:eastAsia="宋体"/>
          <w:b/>
          <w:bCs/>
          <w:kern w:val="0"/>
          <w:u w:val="single"/>
          <w:lang w:val="en-US" w:eastAsia="zh-CN"/>
        </w:rPr>
        <w:t xml:space="preserve"> 行知管理学院</w:t>
      </w:r>
      <w:r>
        <w:rPr>
          <w:rFonts w:hint="eastAsia" w:ascii="宋体" w:hAnsi="宋体" w:eastAsia="宋体"/>
          <w:b/>
          <w:bCs/>
          <w:kern w:val="0"/>
          <w:u w:val="single"/>
        </w:rPr>
        <w:t xml:space="preserve">      </w:t>
      </w:r>
      <w:r>
        <w:rPr>
          <w:rFonts w:hint="eastAsia" w:ascii="宋体" w:hAnsi="宋体" w:eastAsia="宋体"/>
          <w:bCs/>
          <w:kern w:val="0"/>
          <w:u w:val="single"/>
        </w:rPr>
        <w:t xml:space="preserve"> </w:t>
      </w:r>
    </w:p>
    <w:p>
      <w:pPr>
        <w:widowControl/>
        <w:spacing w:line="800" w:lineRule="exact"/>
        <w:ind w:firstLine="1275" w:firstLineChars="397"/>
        <w:jc w:val="left"/>
        <w:rPr>
          <w:rFonts w:ascii="宋体" w:hAnsi="宋体" w:eastAsia="宋体"/>
          <w:b/>
          <w:kern w:val="0"/>
          <w:u w:val="single"/>
        </w:rPr>
      </w:pPr>
      <w:r>
        <w:rPr>
          <w:rFonts w:hint="eastAsia" w:ascii="宋体" w:hAnsi="宋体" w:eastAsia="宋体"/>
          <w:b/>
          <w:kern w:val="0"/>
        </w:rPr>
        <w:t>制定时间：</w:t>
      </w:r>
      <w:r>
        <w:rPr>
          <w:rFonts w:hint="eastAsia" w:ascii="宋体" w:hAnsi="宋体" w:eastAsia="宋体"/>
          <w:b/>
          <w:kern w:val="0"/>
          <w:u w:val="single"/>
        </w:rPr>
        <w:t xml:space="preserve"> </w:t>
      </w:r>
      <w:r>
        <w:rPr>
          <w:rFonts w:hint="eastAsia" w:ascii="宋体" w:hAnsi="宋体" w:eastAsia="宋体"/>
          <w:b/>
          <w:bCs/>
          <w:kern w:val="0"/>
          <w:u w:val="single"/>
        </w:rPr>
        <w:t xml:space="preserve">      20</w:t>
      </w:r>
      <w:r>
        <w:rPr>
          <w:rFonts w:hint="eastAsia" w:ascii="宋体" w:hAnsi="宋体" w:eastAsia="宋体"/>
          <w:b/>
          <w:bCs/>
          <w:kern w:val="0"/>
          <w:u w:val="single"/>
          <w:lang w:val="en-US" w:eastAsia="zh-CN"/>
        </w:rPr>
        <w:t>20</w:t>
      </w:r>
      <w:r>
        <w:rPr>
          <w:rFonts w:hint="eastAsia" w:ascii="宋体" w:hAnsi="宋体" w:eastAsia="宋体"/>
          <w:b/>
          <w:bCs/>
          <w:kern w:val="0"/>
          <w:u w:val="single"/>
        </w:rPr>
        <w:t>年</w:t>
      </w:r>
      <w:r>
        <w:rPr>
          <w:rFonts w:hint="eastAsia" w:ascii="宋体" w:hAnsi="宋体" w:eastAsia="宋体"/>
          <w:b/>
          <w:bCs/>
          <w:kern w:val="0"/>
          <w:u w:val="single"/>
          <w:lang w:val="en-US" w:eastAsia="zh-CN"/>
        </w:rPr>
        <w:t>5</w:t>
      </w:r>
      <w:r>
        <w:rPr>
          <w:rFonts w:hint="eastAsia" w:ascii="宋体" w:hAnsi="宋体" w:eastAsia="宋体"/>
          <w:b/>
          <w:bCs/>
          <w:kern w:val="0"/>
          <w:u w:val="single"/>
        </w:rPr>
        <w:t xml:space="preserve">月   </w:t>
      </w:r>
      <w:r>
        <w:rPr>
          <w:rFonts w:hint="eastAsia" w:ascii="宋体" w:hAnsi="宋体" w:eastAsia="宋体"/>
          <w:b/>
          <w:bCs/>
          <w:kern w:val="0"/>
          <w:u w:val="single"/>
          <w:lang w:val="en-US" w:eastAsia="zh-CN"/>
        </w:rPr>
        <w:t xml:space="preserve"> </w:t>
      </w:r>
      <w:r>
        <w:rPr>
          <w:rFonts w:hint="eastAsia" w:ascii="宋体" w:hAnsi="宋体" w:eastAsia="宋体"/>
          <w:b/>
          <w:bCs/>
          <w:kern w:val="0"/>
          <w:u w:val="single"/>
        </w:rPr>
        <w:t xml:space="preserve">  </w:t>
      </w:r>
      <w:r>
        <w:rPr>
          <w:rFonts w:hint="eastAsia" w:ascii="宋体" w:hAnsi="宋体" w:eastAsia="宋体"/>
          <w:b/>
          <w:kern w:val="0"/>
          <w:u w:val="single"/>
        </w:rPr>
        <w:t xml:space="preserve"> </w:t>
      </w: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eastAsia="黑体"/>
          <w:sz w:val="36"/>
          <w:szCs w:val="36"/>
        </w:rPr>
      </w:pPr>
      <w:r>
        <w:rPr>
          <w:rFonts w:hint="eastAsia" w:ascii="黑体" w:eastAsia="黑体"/>
          <w:sz w:val="36"/>
          <w:szCs w:val="36"/>
        </w:rPr>
        <w:t>安徽财贸职业学院</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eastAsia="黑体"/>
          <w:sz w:val="36"/>
          <w:szCs w:val="36"/>
        </w:rPr>
      </w:pPr>
      <w:r>
        <w:rPr>
          <w:rFonts w:hint="eastAsia" w:ascii="黑体" w:eastAsia="黑体"/>
          <w:color w:val="000000" w:themeColor="text1"/>
          <w:sz w:val="36"/>
          <w:szCs w:val="36"/>
          <w14:textFill>
            <w14:solidFill>
              <w14:schemeClr w14:val="tx1"/>
            </w14:solidFill>
          </w14:textFill>
        </w:rPr>
        <w:t>2020级</w:t>
      </w:r>
      <w:r>
        <w:rPr>
          <w:rFonts w:hint="eastAsia" w:ascii="黑体" w:eastAsia="黑体"/>
          <w:sz w:val="36"/>
          <w:szCs w:val="36"/>
        </w:rPr>
        <w:t>物流管理</w:t>
      </w:r>
      <w:r>
        <w:rPr>
          <w:rFonts w:hint="eastAsia" w:ascii="黑体" w:eastAsia="黑体"/>
          <w:sz w:val="36"/>
          <w:szCs w:val="36"/>
          <w:lang w:eastAsia="zh-CN"/>
        </w:rPr>
        <w:t>（</w:t>
      </w:r>
      <w:r>
        <w:rPr>
          <w:rFonts w:hint="eastAsia" w:ascii="黑体" w:eastAsia="黑体"/>
          <w:sz w:val="36"/>
          <w:szCs w:val="36"/>
        </w:rPr>
        <w:t>三二转段</w:t>
      </w:r>
      <w:r>
        <w:rPr>
          <w:rFonts w:hint="eastAsia" w:ascii="黑体" w:eastAsia="黑体"/>
          <w:sz w:val="36"/>
          <w:szCs w:val="36"/>
          <w:lang w:eastAsia="zh-CN"/>
        </w:rPr>
        <w:t>）</w:t>
      </w:r>
      <w:r>
        <w:rPr>
          <w:rFonts w:hint="eastAsia" w:ascii="黑体" w:eastAsia="黑体"/>
          <w:sz w:val="36"/>
          <w:szCs w:val="36"/>
        </w:rPr>
        <w:t>专业人才培养方案</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一、</w:t>
      </w:r>
      <w:r>
        <w:rPr>
          <w:rFonts w:hint="eastAsia" w:asciiTheme="majorEastAsia" w:hAnsiTheme="majorEastAsia" w:eastAsiaTheme="majorEastAsia" w:cstheme="majorEastAsia"/>
          <w:b/>
          <w:bCs/>
          <w:sz w:val="28"/>
          <w:szCs w:val="28"/>
        </w:rPr>
        <w:t>专业名称</w:t>
      </w:r>
      <w:r>
        <w:rPr>
          <w:rFonts w:hint="eastAsia" w:asciiTheme="majorEastAsia" w:hAnsiTheme="majorEastAsia" w:eastAsiaTheme="majorEastAsia" w:cstheme="majorEastAsia"/>
          <w:b/>
          <w:bCs/>
          <w:sz w:val="28"/>
          <w:szCs w:val="28"/>
          <w:lang w:val="en-US" w:eastAsia="zh-CN"/>
        </w:rPr>
        <w:t>及代码</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物流管理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630903</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二、教育类型及学历层次</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全日制，专科。</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三、入学条件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中职毕业生。</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四、学制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二年。</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五、职业面向</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表1：本专业职业面向</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1276"/>
        <w:gridCol w:w="1276"/>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所属专业大类</w:t>
            </w:r>
          </w:p>
        </w:tc>
        <w:tc>
          <w:tcPr>
            <w:tcW w:w="1134"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所属</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专业类</w:t>
            </w:r>
          </w:p>
        </w:tc>
        <w:tc>
          <w:tcPr>
            <w:tcW w:w="1276"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对应行业</w:t>
            </w:r>
          </w:p>
        </w:tc>
        <w:tc>
          <w:tcPr>
            <w:tcW w:w="1276"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主要职业类别</w:t>
            </w:r>
          </w:p>
        </w:tc>
        <w:tc>
          <w:tcPr>
            <w:tcW w:w="1701"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主要岗位类别（或技术领域）举例</w:t>
            </w:r>
          </w:p>
        </w:tc>
        <w:tc>
          <w:tcPr>
            <w:tcW w:w="1843"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职业资格（职业技能等级）证书举例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113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财经商贸大类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（63）</w:t>
            </w:r>
          </w:p>
        </w:tc>
        <w:tc>
          <w:tcPr>
            <w:tcW w:w="113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物流类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（6309）</w:t>
            </w:r>
          </w:p>
        </w:tc>
        <w:tc>
          <w:tcPr>
            <w:tcW w:w="127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F-批发与零售业</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G-交通运输</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G-59-仓储业</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G-6020-快递业</w:t>
            </w:r>
          </w:p>
        </w:tc>
        <w:tc>
          <w:tcPr>
            <w:tcW w:w="127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4-01-01 采购人员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4-01-05 特殊物品购销人员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4-02-02道路运输服务人员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4-02-03 水上运输服务人员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4-02-05装卸搬运和运输代理服务人员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4-02-06仓储人员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4-02-07邮政和快递服务人员</w:t>
            </w:r>
          </w:p>
        </w:tc>
        <w:tc>
          <w:tcPr>
            <w:tcW w:w="170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4-01-01-00 采购员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4-02-02-04 道路货运业务员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4-02-02-05 道路运输业务员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4-02-03-02 船舶业务员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4-02-05-03运输代理服务员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4-02-05-04危险货物运输作业员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4-02-06-01仓储管理员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4-02-06-2理货员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4-02-06-03物流服务师L</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4-02-06-04 冷藏工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4-02-07-02邮件分拣员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4-02-07-03邮件转运员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4-02-07-04邮政投递员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4-02-07-08快递员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4-02-07-09快件处理员</w:t>
            </w:r>
          </w:p>
        </w:tc>
        <w:tc>
          <w:tcPr>
            <w:tcW w:w="184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1.物流从业人员职业能力等级认证（助理级）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rPr>
            </w:pPr>
            <w:r>
              <w:rPr>
                <w:rFonts w:hint="default" w:ascii="Times New Roman" w:hAnsi="Times New Roman" w:cs="Times New Roman" w:eastAsiaTheme="minorEastAsia"/>
                <w:bCs/>
                <w:sz w:val="21"/>
                <w:szCs w:val="21"/>
              </w:rPr>
              <w:t>2.采购从业人员职业能力等级认证（助理级）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bCs/>
                <w:sz w:val="21"/>
                <w:szCs w:val="21"/>
                <w:lang w:val="en-US" w:eastAsia="zh-CN"/>
              </w:rPr>
            </w:pPr>
            <w:r>
              <w:rPr>
                <w:rFonts w:hint="default" w:ascii="Times New Roman" w:hAnsi="Times New Roman" w:cs="Times New Roman" w:eastAsiaTheme="minorEastAsia"/>
                <w:bCs/>
                <w:sz w:val="21"/>
                <w:szCs w:val="21"/>
                <w:lang w:val="en-US" w:eastAsia="zh-CN"/>
              </w:rPr>
              <w:t>3.</w:t>
            </w:r>
            <w:r>
              <w:rPr>
                <w:rFonts w:hint="default" w:ascii="Times New Roman" w:hAnsi="Times New Roman" w:cs="Times New Roman" w:eastAsiaTheme="minorEastAsia"/>
                <w:sz w:val="21"/>
                <w:szCs w:val="21"/>
                <w:lang w:val="en-US" w:eastAsia="zh-CN"/>
              </w:rPr>
              <w:t>物流管理职业技能等级证书（中级）</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六、培养目标</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本专业培养德、智、体、美全面发展，践行新时代中国特色社会主义核心价值观，具有一定的文化水平、良好的职业道德和人文素养，掌握仓储管理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配送管理、运输管理、供应链管理等专业知识和技术技能，面向仓储、配送、运输、采购与供应、销售、生产等行业，能够从事仓储管理、物流管理、运输管理、采购管理、供应链管理、物流项目/服务营销等工作的</w:t>
      </w:r>
      <w:r>
        <w:rPr>
          <w:rFonts w:hint="eastAsia" w:asciiTheme="minorEastAsia" w:hAnsiTheme="minorEastAsia" w:eastAsiaTheme="minorEastAsia" w:cstheme="minorEastAsia"/>
          <w:color w:val="000000" w:themeColor="text1"/>
          <w:sz w:val="24"/>
          <w14:textFill>
            <w14:solidFill>
              <w14:schemeClr w14:val="tx1"/>
            </w14:solidFill>
          </w14:textFill>
        </w:rPr>
        <w:t>复合型</w:t>
      </w:r>
      <w:r>
        <w:rPr>
          <w:rFonts w:hint="eastAsia" w:asciiTheme="minorEastAsia" w:hAnsiTheme="minorEastAsia" w:eastAsiaTheme="minorEastAsia" w:cstheme="minorEastAsia"/>
          <w:sz w:val="24"/>
        </w:rPr>
        <w:t>技术技能人才。</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七、培养规格</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本专业毕业生应在素质、知识和能力等方面达到以下要求。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（一）素质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1.思想政治素质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坚定拥护中国共产党领导，树立中国特色社会主义共同理想，热爱祖国，具有中华民族自豪感；能够准确理解和把握习近平新时代中国特色社会主义思想的深刻内涵和实践要求；树立社会主义法制观念和正确的权利义务观念，遵纪守法；具有正确的世界观、人生观、价值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2.文化素质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能够熟练运用汉语进行口语和书面的表达与交流；具备一定的文学、艺术、历史、自然科学常识等人文素养；养成经验积累和探究学习的习惯，具有终身学习的意识；具有社会责任感和社会参与意识。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3.职业素质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具备良好的职业道德，能够热爱本职工作，诚实守信；具有较扎实的专业岗位知识和专业技能，掌握行业的发展方向，具有科学精神和求知欲望；具有工匠精神，能够吃苦耐劳、恪尽职守、精益求精；具有创新创业意识，具备开创性的思想、观念、个性、意志、作风和品质；具有信息素养，能够有效地选择、查找及评估各种信息资源；具有针对工作的主动性、针对发展的自觉性，具备竞争意识及对成就的向往和追求精神；具有质量意识、安全意识、服务意识和环保意识，具有强烈的责任心和公益心。</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4.身心素质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达到《国家学生体质健康标准》，养成良好的健身与卫生习惯。具有健康的体魄、积极的心态、良好的心理和健全的人格。能够快速适应职场环境，对工作、学习、生活中出现的挫折和压力，进行心理调适和情绪管理。</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（二）知识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1.了解与本专业相关的法律法规；</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2.掌握应用</w:t>
      </w:r>
      <w:r>
        <w:rPr>
          <w:rFonts w:hint="eastAsia" w:asciiTheme="minorEastAsia" w:hAnsiTheme="minorEastAsia" w:eastAsiaTheme="minorEastAsia" w:cstheme="minorEastAsia"/>
          <w:sz w:val="24"/>
          <w:lang w:val="en-US" w:eastAsia="zh-CN"/>
        </w:rPr>
        <w:t>文</w:t>
      </w:r>
      <w:r>
        <w:rPr>
          <w:rFonts w:hint="eastAsia" w:asciiTheme="minorEastAsia" w:hAnsiTheme="minorEastAsia" w:eastAsiaTheme="minorEastAsia" w:cstheme="minorEastAsia"/>
          <w:sz w:val="24"/>
        </w:rPr>
        <w:t>写作、计算机应用等基础知识；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3.掌握财务报表精读与分析基础知识；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4.掌握仓储管理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配送管理、运输管理的基本知识与方法；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5.掌握物流营销、供应链管理的基本知识与方法；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6.了解现代物流发展新知识、新技术、新趋势；</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7.掌握物流</w:t>
      </w:r>
      <w:r>
        <w:rPr>
          <w:rFonts w:hint="eastAsia" w:asciiTheme="minorEastAsia" w:hAnsiTheme="minorEastAsia" w:eastAsiaTheme="minorEastAsia" w:cstheme="minorEastAsia"/>
          <w:sz w:val="24"/>
          <w:lang w:val="en-US" w:eastAsia="zh-CN"/>
        </w:rPr>
        <w:t>客户关系管理、物流绩效</w:t>
      </w:r>
      <w:r>
        <w:rPr>
          <w:rFonts w:hint="eastAsia" w:asciiTheme="minorEastAsia" w:hAnsiTheme="minorEastAsia" w:eastAsiaTheme="minorEastAsia" w:cstheme="minorEastAsia"/>
          <w:sz w:val="24"/>
        </w:rPr>
        <w:t>的基本知识与方法</w:t>
      </w:r>
      <w:r>
        <w:rPr>
          <w:rFonts w:hint="eastAsia" w:asciiTheme="minorEastAsia" w:hAnsiTheme="minorEastAsia" w:eastAsiaTheme="minorEastAsia" w:cstheme="minorEastAsia"/>
          <w:sz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8</w:t>
      </w:r>
      <w:r>
        <w:rPr>
          <w:rFonts w:hint="eastAsia" w:asciiTheme="minorEastAsia" w:hAnsiTheme="minorEastAsia" w:eastAsiaTheme="minorEastAsia" w:cstheme="minorEastAsia"/>
          <w:sz w:val="24"/>
        </w:rPr>
        <w:t>.掌握物流基本理论及新技术、新业态、新模式等基本理论和互联网思维下的物流与供应链管理知识。</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（三）能力</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能够熟练使用物流管理类各种工具软件；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能够在生产、加工、储藏、运输、销售等领域的物流相关基层岗位的进行作业执行与操作；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能够开展各项物流基层作业的运营管理、资源协调、信息管理和质量管理；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能够进行物流采购、服务/项目营销、客户管理、供应链管理等活动；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能够组织实施信息搜集、数据分析与应用、团队建设与管理；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能熟练应用办公软件，进行文档排版、简单地数据分析与方案演示等；</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能运用语言交流技巧且通俗易懂地开展专业工作；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计算机、互联网等信息技术应用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9</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具有探究学习和终身学习的能力。</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八、人才培养模式</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四融合、五递进”的人才培养模式。即：将技能与素养、理论与实践、学校与企业、课程学习与职业资格证书这四个方面融合起来，按照专业认知、专业基础学习、专业模块学习、职业定位专项实习、顶岗实习这五个层次逐层递进培养人才，提高学生的综合素质。</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九、学生应修学分或应修读的课程</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本专业教学计划进程表中设公共基础课、专业基础课、专业核心课、专业拓展课和综合技能五个模块。</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（一）公共基础课模块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形势与政策、就业指导、劳动教育、体育与健康等课程。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（二）专业基础课模块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财务报表精读与分析、应用文写作、物流客户关系管理（进阶）和物流企业管理（二选一）等课程。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（三）专业核心课模块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仓储管理（进阶）、运输管理（进阶）、配送管理（进阶）、供应链管理（进阶）、物流营销（进阶）、冷链物流运营管理和物流信息技术（二选一）等课程。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（四）专业拓展课模块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智慧物流校内实训、物流职业技能等级认证、配送中心运营与管理、一体化物流校外实训</w:t>
      </w:r>
      <w:r>
        <w:rPr>
          <w:rFonts w:hint="eastAsia" w:asciiTheme="minorEastAsia" w:hAnsiTheme="minorEastAsia" w:eastAsiaTheme="minorEastAsia" w:cstheme="minorEastAsia"/>
          <w:sz w:val="24"/>
          <w:lang w:val="en-US" w:eastAsia="zh-CN"/>
        </w:rPr>
        <w:t>、第三方物流和物流案例与实践（二选一）、物流绩效管理和物流细分领域标杆企业调查分析（二选一），以及第1学期和第2期分别任选1门选修课等课程。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（五）综合技能模块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跟岗实习、顶岗实习、毕业实习报告等。</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宋体" w:hAnsi="宋体" w:eastAsia="宋体" w:cs="宋体"/>
          <w:color w:val="000000"/>
          <w:sz w:val="24"/>
          <w:szCs w:val="24"/>
          <w:lang w:val="en-US" w:eastAsia="zh-CN"/>
        </w:rPr>
      </w:pPr>
      <w:r>
        <w:rPr>
          <w:rFonts w:hint="eastAsia" w:asciiTheme="majorEastAsia" w:hAnsiTheme="majorEastAsia" w:eastAsiaTheme="majorEastAsia" w:cstheme="majorEastAsia"/>
          <w:b/>
          <w:bCs/>
          <w:sz w:val="28"/>
          <w:szCs w:val="28"/>
          <w:lang w:val="en-US" w:eastAsia="zh-CN"/>
        </w:rPr>
        <w:t>十、核心课程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表2 ：本专业核心课程名称及主要教学内容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611"/>
        <w:gridCol w:w="5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733"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b/>
                <w:bCs/>
                <w:color w:val="000000"/>
                <w:sz w:val="21"/>
                <w:szCs w:val="21"/>
                <w:vertAlign w:val="baseline"/>
                <w:lang w:eastAsia="zh-CN"/>
              </w:rPr>
            </w:pPr>
            <w:r>
              <w:rPr>
                <w:rFonts w:hint="default" w:ascii="Times New Roman" w:hAnsi="Times New Roman" w:cs="Times New Roman" w:eastAsiaTheme="minorEastAsia"/>
                <w:b/>
                <w:bCs/>
                <w:color w:val="000000"/>
                <w:sz w:val="21"/>
                <w:szCs w:val="21"/>
                <w:vertAlign w:val="baseline"/>
                <w:lang w:eastAsia="zh-CN"/>
              </w:rPr>
              <w:t>序号</w:t>
            </w:r>
          </w:p>
        </w:tc>
        <w:tc>
          <w:tcPr>
            <w:tcW w:w="2611"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b/>
                <w:bCs/>
                <w:color w:val="000000"/>
                <w:sz w:val="21"/>
                <w:szCs w:val="21"/>
                <w:vertAlign w:val="baseline"/>
                <w:lang w:eastAsia="zh-CN"/>
              </w:rPr>
            </w:pPr>
            <w:r>
              <w:rPr>
                <w:rFonts w:hint="default" w:ascii="Times New Roman" w:hAnsi="Times New Roman" w:cs="Times New Roman" w:eastAsiaTheme="minorEastAsia"/>
                <w:b/>
                <w:bCs/>
                <w:color w:val="000000"/>
                <w:sz w:val="21"/>
                <w:szCs w:val="21"/>
                <w:vertAlign w:val="baseline"/>
                <w:lang w:eastAsia="zh-CN"/>
              </w:rPr>
              <w:t>核心课程</w:t>
            </w:r>
          </w:p>
        </w:tc>
        <w:tc>
          <w:tcPr>
            <w:tcW w:w="5178"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b/>
                <w:bCs/>
                <w:color w:val="000000"/>
                <w:sz w:val="21"/>
                <w:szCs w:val="21"/>
                <w:vertAlign w:val="baseline"/>
                <w:lang w:eastAsia="zh-CN"/>
              </w:rPr>
            </w:pPr>
            <w:r>
              <w:rPr>
                <w:rFonts w:hint="default" w:ascii="Times New Roman" w:hAnsi="Times New Roman" w:cs="Times New Roman" w:eastAsiaTheme="minorEastAsia"/>
                <w:b/>
                <w:bCs/>
                <w:color w:val="000000"/>
                <w:sz w:val="21"/>
                <w:szCs w:val="21"/>
                <w:vertAlign w:val="baseline"/>
                <w:lang w:eastAsia="zh-CN"/>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color w:val="000000"/>
                <w:sz w:val="21"/>
                <w:szCs w:val="21"/>
                <w:vertAlign w:val="baseline"/>
                <w:lang w:val="en-US" w:eastAsia="zh-CN"/>
              </w:rPr>
            </w:pPr>
            <w:r>
              <w:rPr>
                <w:rFonts w:hint="default" w:ascii="Times New Roman" w:hAnsi="Times New Roman" w:cs="Times New Roman" w:eastAsiaTheme="minorEastAsia"/>
                <w:color w:val="000000"/>
                <w:sz w:val="21"/>
                <w:szCs w:val="21"/>
                <w:vertAlign w:val="baseline"/>
                <w:lang w:val="en-US" w:eastAsia="zh-CN"/>
              </w:rPr>
              <w:t>1</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《仓储管理</w:t>
            </w:r>
            <w:r>
              <w:rPr>
                <w:rFonts w:hint="default" w:ascii="Times New Roman" w:hAnsi="Times New Roman" w:cs="Times New Roman" w:eastAsiaTheme="minorEastAsia"/>
                <w:sz w:val="21"/>
                <w:szCs w:val="21"/>
                <w:lang w:val="en-US" w:eastAsia="zh-CN"/>
              </w:rPr>
              <w:t>（进阶）</w:t>
            </w:r>
            <w:r>
              <w:rPr>
                <w:rFonts w:hint="default" w:ascii="Times New Roman" w:hAnsi="Times New Roman" w:cs="Times New Roman" w:eastAsiaTheme="minorEastAsia"/>
                <w:color w:val="000000" w:themeColor="text1"/>
                <w:sz w:val="21"/>
                <w:szCs w:val="21"/>
                <w14:textFill>
                  <w14:solidFill>
                    <w14:schemeClr w14:val="tx1"/>
                  </w14:solidFill>
                </w14:textFill>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default" w:ascii="Times New Roman" w:hAnsi="Times New Roman" w:cs="Times New Roman" w:eastAsiaTheme="minorEastAsia"/>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仓储</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的</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概念、</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仓库常见设备、</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入库作业组织、在库作业组织、出库作业组织、</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仓库的选址与规划</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WMS</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、仓储成本管理、仓储绩效管理等。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color w:val="000000"/>
                <w:sz w:val="21"/>
                <w:szCs w:val="21"/>
                <w:vertAlign w:val="baseline"/>
                <w:lang w:val="en-US" w:eastAsia="zh-CN"/>
              </w:rPr>
            </w:pPr>
            <w:r>
              <w:rPr>
                <w:rFonts w:hint="default" w:ascii="Times New Roman" w:hAnsi="Times New Roman" w:cs="Times New Roman" w:eastAsiaTheme="minorEastAsia"/>
                <w:color w:val="000000"/>
                <w:sz w:val="21"/>
                <w:szCs w:val="21"/>
                <w:vertAlign w:val="baseline"/>
                <w:lang w:val="en-US" w:eastAsia="zh-CN"/>
              </w:rPr>
              <w:t>2</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w:t>
            </w:r>
            <w:r>
              <w:rPr>
                <w:rFonts w:hint="default" w:ascii="Times New Roman" w:hAnsi="Times New Roman" w:cs="Times New Roman" w:eastAsiaTheme="minorEastAsia"/>
                <w:sz w:val="21"/>
                <w:szCs w:val="21"/>
                <w:lang w:val="en-US" w:eastAsia="zh-CN"/>
              </w:rPr>
              <w:t>配送管理（进阶）</w:t>
            </w:r>
            <w:r>
              <w:rPr>
                <w:rFonts w:hint="default" w:ascii="Times New Roman" w:hAnsi="Times New Roman" w:cs="Times New Roman" w:eastAsiaTheme="minorEastAsia"/>
                <w:color w:val="000000"/>
                <w:sz w:val="21"/>
                <w:szCs w:val="21"/>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jc w:val="left"/>
              <w:textAlignment w:val="auto"/>
              <w:outlineLvl w:val="9"/>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lang w:eastAsia="zh-CN"/>
              </w:rPr>
              <w:t>配送概念、现代物流配送的方式与技术，物流配送中心的运输与信息管理、企业物流配送的基本方式、作业管理与运作要求</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等</w:t>
            </w:r>
            <w:r>
              <w:rPr>
                <w:rFonts w:hint="default" w:ascii="Times New Roman" w:hAnsi="Times New Roman" w:cs="Times New Roman" w:eastAsiaTheme="minorEastAsia"/>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color w:val="000000"/>
                <w:sz w:val="21"/>
                <w:szCs w:val="21"/>
                <w:vertAlign w:val="baseline"/>
                <w:lang w:val="en-US" w:eastAsia="zh-CN"/>
              </w:rPr>
            </w:pPr>
            <w:r>
              <w:rPr>
                <w:rFonts w:hint="default" w:ascii="Times New Roman" w:hAnsi="Times New Roman" w:cs="Times New Roman" w:eastAsiaTheme="minorEastAsia"/>
                <w:color w:val="000000"/>
                <w:sz w:val="21"/>
                <w:szCs w:val="21"/>
                <w:vertAlign w:val="baseline"/>
                <w:lang w:val="en-US" w:eastAsia="zh-CN"/>
              </w:rPr>
              <w:t>3</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w:t>
            </w:r>
            <w:r>
              <w:rPr>
                <w:rFonts w:hint="default" w:ascii="Times New Roman" w:hAnsi="Times New Roman" w:cs="Times New Roman" w:eastAsiaTheme="minorEastAsia"/>
                <w:sz w:val="21"/>
                <w:szCs w:val="21"/>
                <w:lang w:val="en-US" w:eastAsia="zh-CN"/>
              </w:rPr>
              <w:t>运输管理（进阶）</w:t>
            </w:r>
            <w:r>
              <w:rPr>
                <w:rFonts w:hint="default" w:ascii="Times New Roman" w:hAnsi="Times New Roman" w:cs="Times New Roman" w:eastAsiaTheme="minorEastAsia"/>
                <w:color w:val="000000"/>
                <w:sz w:val="21"/>
                <w:szCs w:val="21"/>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jc w:val="left"/>
              <w:textAlignment w:val="auto"/>
              <w:outlineLvl w:val="9"/>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color w:val="000000"/>
                <w:sz w:val="21"/>
                <w:szCs w:val="21"/>
                <w:lang w:eastAsia="zh-CN"/>
              </w:rPr>
              <w:t>运输系统的构成要素、各种运输方式的技术经济特征、按合理的运输组织流程，处理货运组织工作、货物配载技术与配送线路优化方法等。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color w:val="000000"/>
                <w:sz w:val="21"/>
                <w:szCs w:val="21"/>
                <w:vertAlign w:val="baseline"/>
                <w:lang w:val="en-US" w:eastAsia="zh-CN"/>
              </w:rPr>
            </w:pPr>
            <w:r>
              <w:rPr>
                <w:rFonts w:hint="default" w:ascii="Times New Roman" w:hAnsi="Times New Roman" w:cs="Times New Roman" w:eastAsiaTheme="minorEastAsia"/>
                <w:color w:val="000000"/>
                <w:sz w:val="21"/>
                <w:szCs w:val="21"/>
                <w:vertAlign w:val="baseline"/>
                <w:lang w:val="en-US" w:eastAsia="zh-CN"/>
              </w:rPr>
              <w:t>4</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w:t>
            </w:r>
            <w:r>
              <w:rPr>
                <w:rFonts w:hint="default" w:ascii="Times New Roman" w:hAnsi="Times New Roman" w:cs="Times New Roman" w:eastAsiaTheme="minorEastAsia"/>
                <w:sz w:val="21"/>
                <w:szCs w:val="21"/>
                <w:lang w:val="en-US" w:eastAsia="zh-CN"/>
              </w:rPr>
              <w:t>物流营销（进阶）</w:t>
            </w:r>
            <w:r>
              <w:rPr>
                <w:rFonts w:hint="default" w:ascii="Times New Roman" w:hAnsi="Times New Roman" w:cs="Times New Roman" w:eastAsiaTheme="minorEastAsia"/>
                <w:color w:val="000000"/>
                <w:sz w:val="21"/>
                <w:szCs w:val="21"/>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jc w:val="left"/>
              <w:textAlignment w:val="auto"/>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eastAsia="zh-CN"/>
              </w:rPr>
              <w:t>物流</w:t>
            </w:r>
            <w:r>
              <w:rPr>
                <w:rFonts w:hint="default" w:ascii="Times New Roman" w:hAnsi="Times New Roman" w:cs="Times New Roman" w:eastAsiaTheme="minorEastAsia"/>
                <w:color w:val="000000"/>
                <w:sz w:val="21"/>
                <w:szCs w:val="21"/>
                <w:lang w:val="en-US" w:eastAsia="zh-CN"/>
              </w:rPr>
              <w:t>市场</w:t>
            </w:r>
            <w:r>
              <w:rPr>
                <w:rFonts w:hint="default" w:ascii="Times New Roman" w:hAnsi="Times New Roman" w:cs="Times New Roman" w:eastAsiaTheme="minorEastAsia"/>
                <w:color w:val="000000"/>
                <w:sz w:val="21"/>
                <w:szCs w:val="21"/>
                <w:lang w:eastAsia="zh-CN"/>
              </w:rPr>
              <w:t>营销概述、物流营销市场分析、物流目标客户选择、物流服务项目开发、物流目标客户开发、物流营销策略制定、物流客户服务管理、物流营销</w:t>
            </w:r>
            <w:r>
              <w:rPr>
                <w:rFonts w:hint="default" w:ascii="Times New Roman" w:hAnsi="Times New Roman" w:cs="Times New Roman" w:eastAsiaTheme="minorEastAsia"/>
                <w:color w:val="000000"/>
                <w:sz w:val="21"/>
                <w:szCs w:val="21"/>
                <w:lang w:val="en-US" w:eastAsia="zh-CN"/>
              </w:rPr>
              <w:t>绩效评估等。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color w:val="000000"/>
                <w:kern w:val="2"/>
                <w:sz w:val="21"/>
                <w:szCs w:val="21"/>
                <w:vertAlign w:val="baseline"/>
                <w:lang w:val="en-US" w:eastAsia="zh-CN" w:bidi="ar-SA"/>
              </w:rPr>
            </w:pPr>
            <w:r>
              <w:rPr>
                <w:rFonts w:hint="default" w:ascii="Times New Roman" w:hAnsi="Times New Roman" w:cs="Times New Roman" w:eastAsiaTheme="minorEastAsia"/>
                <w:color w:val="000000"/>
                <w:sz w:val="21"/>
                <w:szCs w:val="21"/>
                <w:vertAlign w:val="baseline"/>
                <w:lang w:val="en-US" w:eastAsia="zh-CN"/>
              </w:rPr>
              <w:t>5</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rPr>
              <w:t>《</w:t>
            </w:r>
            <w:r>
              <w:rPr>
                <w:rFonts w:hint="default" w:ascii="Times New Roman" w:hAnsi="Times New Roman" w:cs="Times New Roman" w:eastAsiaTheme="minorEastAsia"/>
                <w:sz w:val="21"/>
                <w:szCs w:val="21"/>
                <w:lang w:val="en-US" w:eastAsia="zh-CN"/>
              </w:rPr>
              <w:t>供应链管理（进阶）</w:t>
            </w:r>
            <w:r>
              <w:rPr>
                <w:rFonts w:hint="default" w:ascii="Times New Roman" w:hAnsi="Times New Roman" w:cs="Times New Roman" w:eastAsiaTheme="minorEastAsia"/>
                <w:color w:val="000000"/>
                <w:sz w:val="21"/>
                <w:szCs w:val="21"/>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jc w:val="left"/>
              <w:textAlignment w:val="auto"/>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eastAsia="zh-CN"/>
              </w:rPr>
              <w:t>供应链</w:t>
            </w:r>
            <w:r>
              <w:rPr>
                <w:rFonts w:hint="default" w:ascii="Times New Roman" w:hAnsi="Times New Roman" w:cs="Times New Roman" w:eastAsiaTheme="minorEastAsia"/>
                <w:color w:val="000000"/>
                <w:sz w:val="21"/>
                <w:szCs w:val="21"/>
                <w:lang w:val="en-US" w:eastAsia="zh-CN"/>
              </w:rPr>
              <w:t>采购</w:t>
            </w:r>
            <w:r>
              <w:rPr>
                <w:rFonts w:hint="default" w:ascii="Times New Roman" w:hAnsi="Times New Roman" w:cs="Times New Roman" w:eastAsiaTheme="minorEastAsia"/>
                <w:color w:val="000000"/>
                <w:sz w:val="21"/>
                <w:szCs w:val="21"/>
                <w:lang w:eastAsia="zh-CN"/>
              </w:rPr>
              <w:t>管理、供应链</w:t>
            </w:r>
            <w:r>
              <w:rPr>
                <w:rFonts w:hint="default" w:ascii="Times New Roman" w:hAnsi="Times New Roman" w:cs="Times New Roman" w:eastAsiaTheme="minorEastAsia"/>
                <w:color w:val="000000"/>
                <w:sz w:val="21"/>
                <w:szCs w:val="21"/>
                <w:lang w:val="en-US" w:eastAsia="zh-CN"/>
              </w:rPr>
              <w:t>库存</w:t>
            </w:r>
            <w:r>
              <w:rPr>
                <w:rFonts w:hint="default" w:ascii="Times New Roman" w:hAnsi="Times New Roman" w:cs="Times New Roman" w:eastAsiaTheme="minorEastAsia"/>
                <w:color w:val="000000"/>
                <w:sz w:val="21"/>
                <w:szCs w:val="21"/>
                <w:lang w:eastAsia="zh-CN"/>
              </w:rPr>
              <w:t>管理、供应链</w:t>
            </w:r>
            <w:r>
              <w:rPr>
                <w:rFonts w:hint="default" w:ascii="Times New Roman" w:hAnsi="Times New Roman" w:cs="Times New Roman" w:eastAsiaTheme="minorEastAsia"/>
                <w:color w:val="000000"/>
                <w:sz w:val="21"/>
                <w:szCs w:val="21"/>
                <w:lang w:val="en-US" w:eastAsia="zh-CN"/>
              </w:rPr>
              <w:t>生产</w:t>
            </w:r>
            <w:r>
              <w:rPr>
                <w:rFonts w:hint="default" w:ascii="Times New Roman" w:hAnsi="Times New Roman" w:cs="Times New Roman" w:eastAsiaTheme="minorEastAsia"/>
                <w:color w:val="000000"/>
                <w:sz w:val="21"/>
                <w:szCs w:val="21"/>
                <w:lang w:eastAsia="zh-CN"/>
              </w:rPr>
              <w:t>管理、供应链</w:t>
            </w:r>
            <w:r>
              <w:rPr>
                <w:rFonts w:hint="default" w:ascii="Times New Roman" w:hAnsi="Times New Roman" w:cs="Times New Roman" w:eastAsiaTheme="minorEastAsia"/>
                <w:color w:val="000000"/>
                <w:sz w:val="21"/>
                <w:szCs w:val="21"/>
                <w:lang w:val="en-US" w:eastAsia="zh-CN"/>
              </w:rPr>
              <w:t>关系</w:t>
            </w:r>
            <w:r>
              <w:rPr>
                <w:rFonts w:hint="default" w:ascii="Times New Roman" w:hAnsi="Times New Roman" w:cs="Times New Roman" w:eastAsiaTheme="minorEastAsia"/>
                <w:color w:val="000000"/>
                <w:sz w:val="21"/>
                <w:szCs w:val="21"/>
                <w:lang w:eastAsia="zh-CN"/>
              </w:rPr>
              <w:t>管理、供应链</w:t>
            </w:r>
            <w:r>
              <w:rPr>
                <w:rFonts w:hint="default" w:ascii="Times New Roman" w:hAnsi="Times New Roman" w:cs="Times New Roman" w:eastAsiaTheme="minorEastAsia"/>
                <w:color w:val="000000"/>
                <w:sz w:val="21"/>
                <w:szCs w:val="21"/>
                <w:lang w:val="en-US" w:eastAsia="zh-CN"/>
              </w:rPr>
              <w:t>战略</w:t>
            </w:r>
            <w:r>
              <w:rPr>
                <w:rFonts w:hint="default" w:ascii="Times New Roman" w:hAnsi="Times New Roman" w:cs="Times New Roman" w:eastAsiaTheme="minorEastAsia"/>
                <w:color w:val="000000"/>
                <w:sz w:val="21"/>
                <w:szCs w:val="21"/>
                <w:lang w:eastAsia="zh-CN"/>
              </w:rPr>
              <w:t>管理、</w:t>
            </w:r>
            <w:r>
              <w:rPr>
                <w:rFonts w:hint="default" w:ascii="Times New Roman" w:hAnsi="Times New Roman" w:cs="Times New Roman" w:eastAsiaTheme="minorEastAsia"/>
                <w:color w:val="000000"/>
                <w:sz w:val="21"/>
                <w:szCs w:val="21"/>
                <w:lang w:val="en-US" w:eastAsia="zh-CN"/>
              </w:rPr>
              <w:t>供应链管理组织结构、供应链物流网络规划、供应链成本与绩效管理等。</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十一、学时安排</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总学时数为1468，每</w:t>
      </w:r>
      <w:r>
        <w:rPr>
          <w:rFonts w:hint="eastAsia" w:asciiTheme="minorEastAsia" w:hAnsiTheme="minorEastAsia" w:eastAsiaTheme="minorEastAsia" w:cstheme="minorEastAsia"/>
          <w:sz w:val="24"/>
          <w:lang w:val="en-US" w:eastAsia="en-US"/>
        </w:rPr>
        <w:t>16-18</w:t>
      </w:r>
      <w:r>
        <w:rPr>
          <w:rFonts w:hint="eastAsia" w:asciiTheme="minorEastAsia" w:hAnsiTheme="minorEastAsia" w:eastAsiaTheme="minorEastAsia" w:cstheme="minorEastAsia"/>
          <w:sz w:val="24"/>
          <w:lang w:val="en-US" w:eastAsia="zh-CN"/>
        </w:rPr>
        <w:t>学时折算1学分，课时类型如下：</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表3：本专业各教学环节总课时分配表</w:t>
      </w:r>
    </w:p>
    <w:tbl>
      <w:tblPr>
        <w:tblStyle w:val="6"/>
        <w:tblW w:w="8545" w:type="dxa"/>
        <w:tblInd w:w="-100" w:type="dxa"/>
        <w:tblLayout w:type="autofit"/>
        <w:tblCellMar>
          <w:top w:w="0" w:type="dxa"/>
          <w:left w:w="0" w:type="dxa"/>
          <w:bottom w:w="0" w:type="dxa"/>
          <w:right w:w="0" w:type="dxa"/>
        </w:tblCellMar>
      </w:tblPr>
      <w:tblGrid>
        <w:gridCol w:w="3988"/>
        <w:gridCol w:w="2372"/>
        <w:gridCol w:w="2185"/>
      </w:tblGrid>
      <w:tr>
        <w:tblPrEx>
          <w:tblCellMar>
            <w:top w:w="0" w:type="dxa"/>
            <w:left w:w="0" w:type="dxa"/>
            <w:bottom w:w="0" w:type="dxa"/>
            <w:right w:w="0" w:type="dxa"/>
          </w:tblCellMar>
        </w:tblPrEx>
        <w:trPr>
          <w:trHeight w:val="360" w:hRule="atLeast"/>
        </w:trPr>
        <w:tc>
          <w:tcPr>
            <w:tcW w:w="398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300" w:lineRule="auto"/>
              <w:jc w:val="center"/>
              <w:rPr>
                <w:rFonts w:hint="default" w:ascii="Times New Roman" w:hAnsi="Times New Roman" w:eastAsia="宋体" w:cs="Times New Roman"/>
                <w:b/>
                <w:bCs/>
                <w:color w:val="000000"/>
                <w:sz w:val="21"/>
                <w:szCs w:val="21"/>
                <w:vertAlign w:val="baseline"/>
                <w:lang w:eastAsia="zh-CN"/>
              </w:rPr>
            </w:pPr>
            <w:r>
              <w:rPr>
                <w:rFonts w:hint="default" w:ascii="Times New Roman" w:hAnsi="Times New Roman" w:eastAsia="宋体" w:cs="Times New Roman"/>
                <w:b/>
                <w:bCs/>
                <w:color w:val="000000"/>
                <w:sz w:val="21"/>
                <w:szCs w:val="21"/>
                <w:vertAlign w:val="baseline"/>
                <w:lang w:val="en-US" w:eastAsia="zh-CN"/>
              </w:rPr>
              <w:t>项  目</w:t>
            </w:r>
          </w:p>
        </w:tc>
        <w:tc>
          <w:tcPr>
            <w:tcW w:w="2372"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300" w:lineRule="auto"/>
              <w:jc w:val="center"/>
              <w:rPr>
                <w:rFonts w:hint="default" w:ascii="Times New Roman" w:hAnsi="Times New Roman" w:eastAsia="宋体" w:cs="Times New Roman"/>
                <w:b/>
                <w:bCs/>
                <w:color w:val="000000"/>
                <w:sz w:val="21"/>
                <w:szCs w:val="21"/>
                <w:vertAlign w:val="baseline"/>
                <w:lang w:eastAsia="zh-CN"/>
              </w:rPr>
            </w:pPr>
            <w:r>
              <w:rPr>
                <w:rFonts w:hint="default" w:ascii="Times New Roman" w:hAnsi="Times New Roman" w:eastAsia="宋体" w:cs="Times New Roman"/>
                <w:b/>
                <w:bCs/>
                <w:color w:val="000000"/>
                <w:sz w:val="21"/>
                <w:szCs w:val="21"/>
                <w:vertAlign w:val="baseline"/>
                <w:lang w:val="en-US" w:eastAsia="zh-CN"/>
              </w:rPr>
              <w:t>课时数</w:t>
            </w:r>
          </w:p>
        </w:tc>
        <w:tc>
          <w:tcPr>
            <w:tcW w:w="218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300" w:lineRule="auto"/>
              <w:jc w:val="center"/>
              <w:rPr>
                <w:rFonts w:hint="default" w:ascii="Times New Roman" w:hAnsi="Times New Roman" w:eastAsia="宋体" w:cs="Times New Roman"/>
                <w:b/>
                <w:bCs/>
                <w:color w:val="000000"/>
                <w:sz w:val="21"/>
                <w:szCs w:val="21"/>
                <w:vertAlign w:val="baseline"/>
                <w:lang w:eastAsia="zh-CN"/>
              </w:rPr>
            </w:pPr>
            <w:r>
              <w:rPr>
                <w:rFonts w:hint="default" w:ascii="Times New Roman" w:hAnsi="Times New Roman" w:eastAsia="宋体" w:cs="Times New Roman"/>
                <w:b/>
                <w:bCs/>
                <w:color w:val="000000"/>
                <w:sz w:val="21"/>
                <w:szCs w:val="21"/>
                <w:vertAlign w:val="baseline"/>
                <w:lang w:val="en-US" w:eastAsia="zh-CN"/>
              </w:rPr>
              <w:t>百分比</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公共基础课</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86</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5.86%</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专业基础课</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128</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8.72%</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专业核心课</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432</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29.43%</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专业拓展课</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302</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20.57%</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综合技能</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520</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35.42%</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合计</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1468</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100.00%</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必修课</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1180</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80.38%</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限选课</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216</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14.71%</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任选课</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72</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4.90%</w:t>
            </w:r>
          </w:p>
        </w:tc>
      </w:tr>
      <w:tr>
        <w:tblPrEx>
          <w:tblCellMar>
            <w:top w:w="0" w:type="dxa"/>
            <w:left w:w="0" w:type="dxa"/>
            <w:bottom w:w="0" w:type="dxa"/>
            <w:right w:w="0" w:type="dxa"/>
          </w:tblCellMar>
        </w:tblPrEx>
        <w:trPr>
          <w:trHeight w:val="285" w:hRule="atLeast"/>
        </w:trPr>
        <w:tc>
          <w:tcPr>
            <w:tcW w:w="39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00" w:lineRule="auto"/>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合计</w:t>
            </w:r>
          </w:p>
        </w:tc>
        <w:tc>
          <w:tcPr>
            <w:tcW w:w="2372"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1468</w:t>
            </w:r>
          </w:p>
        </w:tc>
        <w:tc>
          <w:tcPr>
            <w:tcW w:w="218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100.00%</w:t>
            </w:r>
          </w:p>
        </w:tc>
      </w:tr>
    </w:tbl>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表4：本专业理论课与实训课课时分配表</w:t>
      </w:r>
    </w:p>
    <w:tbl>
      <w:tblPr>
        <w:tblStyle w:val="6"/>
        <w:tblW w:w="8558" w:type="dxa"/>
        <w:tblInd w:w="-121" w:type="dxa"/>
        <w:shd w:val="clear" w:color="auto" w:fill="auto"/>
        <w:tblLayout w:type="autofit"/>
        <w:tblCellMar>
          <w:top w:w="0" w:type="dxa"/>
          <w:left w:w="0" w:type="dxa"/>
          <w:bottom w:w="0" w:type="dxa"/>
          <w:right w:w="0" w:type="dxa"/>
        </w:tblCellMar>
      </w:tblPr>
      <w:tblGrid>
        <w:gridCol w:w="4002"/>
        <w:gridCol w:w="2383"/>
        <w:gridCol w:w="2173"/>
      </w:tblGrid>
      <w:tr>
        <w:tblPrEx>
          <w:shd w:val="clear" w:color="auto" w:fill="auto"/>
          <w:tblCellMar>
            <w:top w:w="0" w:type="dxa"/>
            <w:left w:w="0" w:type="dxa"/>
            <w:bottom w:w="0" w:type="dxa"/>
            <w:right w:w="0" w:type="dxa"/>
          </w:tblCellMar>
        </w:tblPrEx>
        <w:trPr>
          <w:trHeight w:val="375" w:hRule="atLeast"/>
        </w:trPr>
        <w:tc>
          <w:tcPr>
            <w:tcW w:w="4002"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1"/>
                <w:szCs w:val="21"/>
                <w:u w:val="none"/>
              </w:rPr>
            </w:pPr>
            <w:r>
              <w:rPr>
                <w:rFonts w:hint="default" w:ascii="Times New Roman" w:hAnsi="Times New Roman" w:eastAsia="宋体" w:cs="Times New Roman"/>
                <w:b/>
                <w:bCs/>
                <w:i w:val="0"/>
                <w:color w:val="000000"/>
                <w:kern w:val="0"/>
                <w:sz w:val="21"/>
                <w:szCs w:val="21"/>
                <w:u w:val="none"/>
                <w:lang w:val="en-US" w:eastAsia="zh-CN" w:bidi="ar"/>
              </w:rPr>
              <w:t>项</w:t>
            </w:r>
            <w:r>
              <w:rPr>
                <w:rFonts w:hint="eastAsia" w:ascii="Times New Roman" w:hAnsi="Times New Roman" w:eastAsia="宋体" w:cs="Times New Roman"/>
                <w:b/>
                <w:bCs/>
                <w:i w:val="0"/>
                <w:color w:val="000000"/>
                <w:kern w:val="0"/>
                <w:sz w:val="21"/>
                <w:szCs w:val="21"/>
                <w:u w:val="none"/>
                <w:lang w:val="en-US" w:eastAsia="zh-CN" w:bidi="ar"/>
              </w:rPr>
              <w:t xml:space="preserve">  </w:t>
            </w:r>
            <w:r>
              <w:rPr>
                <w:rFonts w:hint="default" w:ascii="Times New Roman" w:hAnsi="Times New Roman" w:eastAsia="宋体" w:cs="Times New Roman"/>
                <w:b/>
                <w:bCs/>
                <w:i w:val="0"/>
                <w:color w:val="000000"/>
                <w:kern w:val="0"/>
                <w:sz w:val="21"/>
                <w:szCs w:val="21"/>
                <w:u w:val="none"/>
                <w:lang w:val="en-US" w:eastAsia="zh-CN" w:bidi="ar"/>
              </w:rPr>
              <w:t>目</w:t>
            </w:r>
          </w:p>
        </w:tc>
        <w:tc>
          <w:tcPr>
            <w:tcW w:w="238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1"/>
                <w:szCs w:val="21"/>
                <w:u w:val="none"/>
              </w:rPr>
            </w:pPr>
            <w:r>
              <w:rPr>
                <w:rFonts w:hint="default" w:ascii="Times New Roman" w:hAnsi="Times New Roman" w:eastAsia="宋体" w:cs="Times New Roman"/>
                <w:b/>
                <w:bCs/>
                <w:i w:val="0"/>
                <w:color w:val="000000"/>
                <w:kern w:val="0"/>
                <w:sz w:val="21"/>
                <w:szCs w:val="21"/>
                <w:u w:val="none"/>
                <w:lang w:val="en-US" w:eastAsia="zh-CN" w:bidi="ar"/>
              </w:rPr>
              <w:t>总课时数</w:t>
            </w:r>
          </w:p>
        </w:tc>
        <w:tc>
          <w:tcPr>
            <w:tcW w:w="2173"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1"/>
                <w:szCs w:val="21"/>
                <w:u w:val="none"/>
              </w:rPr>
            </w:pPr>
            <w:r>
              <w:rPr>
                <w:rFonts w:hint="default" w:ascii="Times New Roman" w:hAnsi="Times New Roman" w:eastAsia="宋体" w:cs="Times New Roman"/>
                <w:b/>
                <w:bCs/>
                <w:i w:val="0"/>
                <w:color w:val="000000"/>
                <w:kern w:val="0"/>
                <w:sz w:val="21"/>
                <w:szCs w:val="21"/>
                <w:u w:val="none"/>
                <w:lang w:val="en-US" w:eastAsia="zh-CN" w:bidi="ar"/>
              </w:rPr>
              <w:t>百分比</w:t>
            </w:r>
          </w:p>
        </w:tc>
      </w:tr>
      <w:tr>
        <w:tblPrEx>
          <w:shd w:val="clear" w:color="auto" w:fill="auto"/>
          <w:tblCellMar>
            <w:top w:w="0" w:type="dxa"/>
            <w:left w:w="0" w:type="dxa"/>
            <w:bottom w:w="0" w:type="dxa"/>
            <w:right w:w="0" w:type="dxa"/>
          </w:tblCellMar>
        </w:tblPrEx>
        <w:trPr>
          <w:trHeight w:val="375" w:hRule="atLeast"/>
        </w:trPr>
        <w:tc>
          <w:tcPr>
            <w:tcW w:w="400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理论课时</w:t>
            </w:r>
          </w:p>
        </w:tc>
        <w:tc>
          <w:tcPr>
            <w:tcW w:w="23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462</w:t>
            </w:r>
          </w:p>
        </w:tc>
        <w:tc>
          <w:tcPr>
            <w:tcW w:w="217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31.47%</w:t>
            </w:r>
          </w:p>
        </w:tc>
      </w:tr>
      <w:tr>
        <w:tblPrEx>
          <w:tblCellMar>
            <w:top w:w="0" w:type="dxa"/>
            <w:left w:w="0" w:type="dxa"/>
            <w:bottom w:w="0" w:type="dxa"/>
            <w:right w:w="0" w:type="dxa"/>
          </w:tblCellMar>
        </w:tblPrEx>
        <w:trPr>
          <w:trHeight w:val="375" w:hRule="atLeast"/>
        </w:trPr>
        <w:tc>
          <w:tcPr>
            <w:tcW w:w="400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实践课时</w:t>
            </w:r>
          </w:p>
        </w:tc>
        <w:tc>
          <w:tcPr>
            <w:tcW w:w="23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1006</w:t>
            </w:r>
          </w:p>
        </w:tc>
        <w:tc>
          <w:tcPr>
            <w:tcW w:w="217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68.53%</w:t>
            </w:r>
          </w:p>
        </w:tc>
      </w:tr>
      <w:tr>
        <w:tblPrEx>
          <w:shd w:val="clear" w:color="auto" w:fill="auto"/>
          <w:tblCellMar>
            <w:top w:w="0" w:type="dxa"/>
            <w:left w:w="0" w:type="dxa"/>
            <w:bottom w:w="0" w:type="dxa"/>
            <w:right w:w="0" w:type="dxa"/>
          </w:tblCellMar>
        </w:tblPrEx>
        <w:trPr>
          <w:trHeight w:val="386" w:hRule="atLeast"/>
        </w:trPr>
        <w:tc>
          <w:tcPr>
            <w:tcW w:w="400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合计</w:t>
            </w:r>
          </w:p>
        </w:tc>
        <w:tc>
          <w:tcPr>
            <w:tcW w:w="23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1468</w:t>
            </w:r>
          </w:p>
        </w:tc>
        <w:tc>
          <w:tcPr>
            <w:tcW w:w="217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1"/>
                <w:szCs w:val="21"/>
                <w:u w:val="none"/>
                <w:lang w:val="en-US" w:eastAsia="zh-CN" w:bidi="ar"/>
              </w:rPr>
            </w:pPr>
            <w:r>
              <w:rPr>
                <w:rFonts w:hint="eastAsia" w:ascii="Times New Roman" w:hAnsi="Times New Roman" w:eastAsia="宋体" w:cs="Times New Roman"/>
                <w:i w:val="0"/>
                <w:color w:val="000000"/>
                <w:kern w:val="0"/>
                <w:sz w:val="21"/>
                <w:szCs w:val="21"/>
                <w:u w:val="none"/>
                <w:lang w:val="en-US" w:eastAsia="zh-CN" w:bidi="ar"/>
              </w:rPr>
              <w:t>100.00%</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十二、教学进程总体安排</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表5：本专业教学进程表</w:t>
      </w:r>
    </w:p>
    <w:tbl>
      <w:tblPr>
        <w:tblW w:w="8886" w:type="dxa"/>
        <w:tblInd w:w="-126" w:type="dxa"/>
        <w:shd w:val="clear"/>
        <w:tblLayout w:type="fixed"/>
        <w:tblCellMar>
          <w:top w:w="0" w:type="dxa"/>
          <w:left w:w="0" w:type="dxa"/>
          <w:bottom w:w="0" w:type="dxa"/>
          <w:right w:w="0" w:type="dxa"/>
        </w:tblCellMar>
      </w:tblPr>
      <w:tblGrid>
        <w:gridCol w:w="312"/>
        <w:gridCol w:w="366"/>
        <w:gridCol w:w="489"/>
        <w:gridCol w:w="1719"/>
        <w:gridCol w:w="450"/>
        <w:gridCol w:w="585"/>
        <w:gridCol w:w="495"/>
        <w:gridCol w:w="495"/>
        <w:gridCol w:w="450"/>
        <w:gridCol w:w="450"/>
        <w:gridCol w:w="450"/>
        <w:gridCol w:w="450"/>
        <w:gridCol w:w="465"/>
        <w:gridCol w:w="480"/>
        <w:gridCol w:w="1230"/>
      </w:tblGrid>
      <w:tr>
        <w:tblPrEx>
          <w:tblCellMar>
            <w:top w:w="0" w:type="dxa"/>
            <w:left w:w="0" w:type="dxa"/>
            <w:bottom w:w="0" w:type="dxa"/>
            <w:right w:w="0" w:type="dxa"/>
          </w:tblCellMar>
        </w:tblPrEx>
        <w:trPr>
          <w:trHeight w:val="285" w:hRule="atLeast"/>
        </w:trPr>
        <w:tc>
          <w:tcPr>
            <w:tcW w:w="312"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课程   类别</w:t>
            </w:r>
          </w:p>
        </w:tc>
        <w:tc>
          <w:tcPr>
            <w:tcW w:w="366"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选修 要求</w:t>
            </w:r>
          </w:p>
        </w:tc>
        <w:tc>
          <w:tcPr>
            <w:tcW w:w="489"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序号</w:t>
            </w:r>
          </w:p>
        </w:tc>
        <w:tc>
          <w:tcPr>
            <w:tcW w:w="1719"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学分</w:t>
            </w:r>
          </w:p>
        </w:tc>
        <w:tc>
          <w:tcPr>
            <w:tcW w:w="1575" w:type="dxa"/>
            <w:gridSpan w:val="3"/>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课   时   数</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理论实训教学周课时</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考试考核</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备注</w:t>
            </w:r>
          </w:p>
        </w:tc>
      </w:tr>
      <w:tr>
        <w:tblPrEx>
          <w:shd w:val="clear"/>
          <w:tblCellMar>
            <w:top w:w="0" w:type="dxa"/>
            <w:left w:w="0" w:type="dxa"/>
            <w:bottom w:w="0" w:type="dxa"/>
            <w:right w:w="0" w:type="dxa"/>
          </w:tblCellMar>
        </w:tblPrEx>
        <w:trPr>
          <w:trHeight w:val="285"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总  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其    中</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第一学年</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第二学年</w:t>
            </w: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考  试</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考   查</w:t>
            </w: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63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理论</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实践</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第一学期</w:t>
            </w:r>
          </w:p>
        </w:tc>
        <w:tc>
          <w:tcPr>
            <w:tcW w:w="450" w:type="dxa"/>
            <w:tcBorders>
              <w:top w:val="single" w:color="000000" w:sz="4" w:space="0"/>
              <w:left w:val="single" w:color="000000" w:sz="4" w:space="0"/>
              <w:bottom w:val="single" w:color="000000" w:sz="4" w:space="0"/>
              <w:right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第二学期</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第三学期</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第四学期</w:t>
            </w:r>
          </w:p>
        </w:tc>
        <w:tc>
          <w:tcPr>
            <w:tcW w:w="46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3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9"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18周</w:t>
            </w:r>
          </w:p>
        </w:tc>
        <w:tc>
          <w:tcPr>
            <w:tcW w:w="450" w:type="dxa"/>
            <w:tcBorders>
              <w:top w:val="single" w:color="000000" w:sz="4" w:space="0"/>
              <w:left w:val="nil"/>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18周</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18周</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18周</w:t>
            </w:r>
          </w:p>
        </w:tc>
        <w:tc>
          <w:tcPr>
            <w:tcW w:w="46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312"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公共基础课</w:t>
            </w:r>
          </w:p>
        </w:tc>
        <w:tc>
          <w:tcPr>
            <w:tcW w:w="366" w:type="dxa"/>
            <w:vMerge w:val="restart"/>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1-1</w:t>
            </w:r>
          </w:p>
        </w:tc>
        <w:tc>
          <w:tcPr>
            <w:tcW w:w="1719"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形势与政策</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w:t>
            </w: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nil"/>
              <w:left w:val="nil"/>
              <w:bottom w:val="nil"/>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4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1-2</w:t>
            </w:r>
          </w:p>
        </w:tc>
        <w:tc>
          <w:tcPr>
            <w:tcW w:w="1719"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就业指导</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4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1-3</w:t>
            </w:r>
          </w:p>
        </w:tc>
        <w:tc>
          <w:tcPr>
            <w:tcW w:w="1719"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劳动教育</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16"/>
                <w:szCs w:val="16"/>
                <w:u w:val="none"/>
                <w:bdr w:val="none" w:color="auto" w:sz="0" w:space="0"/>
                <w:lang w:val="en-US" w:eastAsia="zh-CN" w:bidi="ar"/>
                <w14:textFill>
                  <w14:solidFill>
                    <w14:schemeClr w14:val="tx1"/>
                  </w14:solidFill>
                </w14:textFill>
              </w:rPr>
              <w:t>讲座、实践教学</w:t>
            </w:r>
          </w:p>
        </w:tc>
      </w:tr>
      <w:tr>
        <w:tblPrEx>
          <w:shd w:val="clear"/>
          <w:tblCellMar>
            <w:top w:w="0" w:type="dxa"/>
            <w:left w:w="0" w:type="dxa"/>
            <w:bottom w:w="0" w:type="dxa"/>
            <w:right w:w="0" w:type="dxa"/>
          </w:tblCellMar>
        </w:tblPrEx>
        <w:trPr>
          <w:trHeight w:val="24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1-4</w:t>
            </w:r>
          </w:p>
        </w:tc>
        <w:tc>
          <w:tcPr>
            <w:tcW w:w="1719"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体育与健康</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4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20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312"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专业基础课</w:t>
            </w:r>
          </w:p>
        </w:tc>
        <w:tc>
          <w:tcPr>
            <w:tcW w:w="36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2-1</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16"/>
                <w:szCs w:val="16"/>
                <w:u w:val="none"/>
                <w:bdr w:val="none" w:color="auto" w:sz="0" w:space="0"/>
                <w:lang w:val="en-US" w:eastAsia="zh-CN" w:bidi="ar"/>
                <w14:textFill>
                  <w14:solidFill>
                    <w14:schemeClr w14:val="tx1"/>
                  </w14:solidFill>
                </w14:textFill>
              </w:rPr>
              <w:t>财务报表精读与分析</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2-2</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应用文写作</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16"/>
                <w:szCs w:val="16"/>
                <w:u w:val="none"/>
                <w:bdr w:val="none" w:color="auto" w:sz="0" w:space="0"/>
                <w:lang w:val="en-US" w:eastAsia="zh-CN" w:bidi="ar"/>
                <w14:textFill>
                  <w14:solidFill>
                    <w14:schemeClr w14:val="tx1"/>
                  </w14:solidFill>
                </w14:textFill>
              </w:rPr>
              <w:t>第三学期物流开课建议为6周</w:t>
            </w:r>
          </w:p>
        </w:tc>
      </w:tr>
      <w:tr>
        <w:tblPrEx>
          <w:shd w:val="clear"/>
          <w:tblCellMar>
            <w:top w:w="0" w:type="dxa"/>
            <w:left w:w="0" w:type="dxa"/>
            <w:bottom w:w="0" w:type="dxa"/>
            <w:right w:w="0" w:type="dxa"/>
          </w:tblCellMar>
        </w:tblPrEx>
        <w:trPr>
          <w:trHeight w:val="26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20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92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限选课</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2-3</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bdr w:val="none" w:color="auto" w:sz="0" w:space="0"/>
                <w:lang w:val="en-US" w:eastAsia="zh-CN" w:bidi="ar"/>
                <w14:textFill>
                  <w14:solidFill>
                    <w14:schemeClr w14:val="tx1"/>
                  </w14:solidFill>
                </w14:textFill>
              </w:rPr>
              <w:t>物流客户关系管理（进阶）</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vMerge w:val="restart"/>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二选一（第三学期物流开课建议为6周）</w:t>
            </w:r>
          </w:p>
        </w:tc>
      </w:tr>
      <w:tr>
        <w:tblPrEx>
          <w:shd w:val="clear"/>
          <w:tblCellMar>
            <w:top w:w="0" w:type="dxa"/>
            <w:left w:w="0" w:type="dxa"/>
            <w:bottom w:w="0" w:type="dxa"/>
            <w:right w:w="0" w:type="dxa"/>
          </w:tblCellMar>
        </w:tblPrEx>
        <w:trPr>
          <w:trHeight w:val="255"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物流企业管理</w:t>
            </w: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4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20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42"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574" w:type="dxa"/>
            <w:gridSpan w:val="3"/>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128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55" w:hRule="atLeast"/>
        </w:trPr>
        <w:tc>
          <w:tcPr>
            <w:tcW w:w="312"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专业核心课</w:t>
            </w:r>
          </w:p>
        </w:tc>
        <w:tc>
          <w:tcPr>
            <w:tcW w:w="36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3-1</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仓储管理（进阶）</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配送管理（进阶）</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3-3</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运输管理（进阶）</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7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3-4</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供应链管理（进阶）</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30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3-5</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物流营销（进阶）</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20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20</w:t>
            </w:r>
          </w:p>
        </w:tc>
        <w:tc>
          <w:tcPr>
            <w:tcW w:w="585"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360</w:t>
            </w:r>
          </w:p>
        </w:tc>
        <w:tc>
          <w:tcPr>
            <w:tcW w:w="495"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95"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5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18"/>
                <w:szCs w:val="18"/>
                <w:u w:val="none"/>
                <w14:textFill>
                  <w14:solidFill>
                    <w14:schemeClr w14:val="tx1"/>
                  </w14:solidFill>
                </w14:textFill>
              </w:rPr>
            </w:pPr>
          </w:p>
        </w:tc>
      </w:tr>
      <w:tr>
        <w:tblPrEx>
          <w:tblCellMar>
            <w:top w:w="0" w:type="dxa"/>
            <w:left w:w="0" w:type="dxa"/>
            <w:bottom w:w="0" w:type="dxa"/>
            <w:right w:w="0" w:type="dxa"/>
          </w:tblCellMar>
        </w:tblPrEx>
        <w:trPr>
          <w:trHeight w:val="30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限选课</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冷链物流运营管理</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bdr w:val="none" w:color="auto" w:sz="0" w:space="0"/>
                <w:lang w:val="en-US" w:eastAsia="zh-CN" w:bidi="ar"/>
                <w14:textFill>
                  <w14:solidFill>
                    <w14:schemeClr w14:val="tx1"/>
                  </w14:solidFill>
                </w14:textFill>
              </w:rPr>
              <w:t>二选一</w:t>
            </w:r>
          </w:p>
        </w:tc>
      </w:tr>
      <w:tr>
        <w:tblPrEx>
          <w:tblCellMar>
            <w:top w:w="0" w:type="dxa"/>
            <w:left w:w="0" w:type="dxa"/>
            <w:bottom w:w="0" w:type="dxa"/>
            <w:right w:w="0" w:type="dxa"/>
          </w:tblCellMar>
        </w:tblPrEx>
        <w:trPr>
          <w:trHeight w:val="30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3-7</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物流信息技术</w:t>
            </w: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20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4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574" w:type="dxa"/>
            <w:gridSpan w:val="3"/>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216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216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55" w:hRule="atLeast"/>
        </w:trPr>
        <w:tc>
          <w:tcPr>
            <w:tcW w:w="312"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专业拓展课</w:t>
            </w:r>
          </w:p>
        </w:tc>
        <w:tc>
          <w:tcPr>
            <w:tcW w:w="36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智慧物流校内实训</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nil"/>
              <w:left w:val="nil"/>
              <w:bottom w:val="nil"/>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物流职业技能等级认证</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配送中心运营与管理</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4-4</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一体化物流校外实训</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第三学期物流开课建议为6周</w:t>
            </w:r>
          </w:p>
        </w:tc>
      </w:tr>
      <w:tr>
        <w:tblPrEx>
          <w:tblCellMar>
            <w:top w:w="0" w:type="dxa"/>
            <w:left w:w="0" w:type="dxa"/>
            <w:bottom w:w="0" w:type="dxa"/>
            <w:right w:w="0" w:type="dxa"/>
          </w:tblCellMar>
        </w:tblPrEx>
        <w:trPr>
          <w:trHeight w:val="30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20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122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0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限选课</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4-5</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第三方物流</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bdr w:val="none" w:color="auto" w:sz="0" w:space="0"/>
                <w:lang w:val="en-US" w:eastAsia="zh-CN" w:bidi="ar"/>
                <w14:textFill>
                  <w14:solidFill>
                    <w14:schemeClr w14:val="tx1"/>
                  </w14:solidFill>
                </w14:textFill>
              </w:rPr>
              <w:t>二选一</w:t>
            </w:r>
          </w:p>
        </w:tc>
      </w:tr>
      <w:tr>
        <w:tblPrEx>
          <w:tblCellMar>
            <w:top w:w="0" w:type="dxa"/>
            <w:left w:w="0" w:type="dxa"/>
            <w:bottom w:w="0" w:type="dxa"/>
            <w:right w:w="0" w:type="dxa"/>
          </w:tblCellMar>
        </w:tblPrEx>
        <w:trPr>
          <w:trHeight w:val="30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4-6</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物流案例与实践</w:t>
            </w: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30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4-7</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物流绩效管理</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1230" w:type="dxa"/>
            <w:vMerge w:val="restart"/>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二选一（第三学期物流开课建议为6周）</w:t>
            </w:r>
          </w:p>
        </w:tc>
      </w:tr>
      <w:tr>
        <w:tblPrEx>
          <w:shd w:val="clear"/>
          <w:tblCellMar>
            <w:top w:w="0" w:type="dxa"/>
            <w:left w:w="0" w:type="dxa"/>
            <w:bottom w:w="0" w:type="dxa"/>
            <w:right w:w="0" w:type="dxa"/>
          </w:tblCellMar>
        </w:tblPrEx>
        <w:trPr>
          <w:trHeight w:val="30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4-8</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6"/>
                <w:szCs w:val="16"/>
                <w:u w:val="none"/>
                <w14:textFill>
                  <w14:solidFill>
                    <w14:schemeClr w14:val="tx1"/>
                  </w14:solidFill>
                </w14:textFill>
              </w:rPr>
            </w:pPr>
            <w:r>
              <w:rPr>
                <w:rFonts w:hint="eastAsia" w:ascii="宋体" w:hAnsi="宋体" w:eastAsia="宋体" w:cs="宋体"/>
                <w:i w:val="0"/>
                <w:color w:val="000000" w:themeColor="text1"/>
                <w:kern w:val="0"/>
                <w:sz w:val="16"/>
                <w:szCs w:val="16"/>
                <w:u w:val="none"/>
                <w:bdr w:val="none" w:color="auto" w:sz="0" w:space="0"/>
                <w:lang w:val="en-US" w:eastAsia="zh-CN" w:bidi="ar"/>
                <w14:textFill>
                  <w14:solidFill>
                    <w14:schemeClr w14:val="tx1"/>
                  </w14:solidFill>
                </w14:textFill>
              </w:rPr>
              <w:t>物流细分领域标杆企业调查分析</w:t>
            </w: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20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任选课</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4-9</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办公自动化</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第1、2学期分别任选1门课，每门课2学分，共计计4学分</w:t>
            </w: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4-10</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彩妆</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4-11</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成功学</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4-12</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大学生团体心理训练</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4-13</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大学生意外伤害与急救</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4-14</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国学今用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4-15</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韩语入门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4-16</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黄梅戏赏析</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4-17</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徽商与徽文化</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4-18</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交谊舞</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4-19</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篮球</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4-20</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乒乓球</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4-21</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商务礼仪</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4-22</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摄影</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4-23</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书法</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4-24</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围棋文化与原理</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4-25</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文秘速录</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4-26</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心理学与生活</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4-27</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新闻写作规范与技巧</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4-28</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信息检索</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4-29</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演讲与口才</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4-30</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艺术欣赏</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4-31</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音乐</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4-32</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英式橄榄球</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4-33</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英语听力与会话</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4-34</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营销与策划</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4-35</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营养与保健学</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4-36</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影视文学欣赏</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4-37</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证券与期货</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4-38</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淑女学堂课程（上）</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4-39</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淑女学堂课程（下）</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20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w:t>
            </w:r>
            <w:r>
              <w:rPr>
                <w:rStyle w:val="18"/>
                <w:rFonts w:eastAsia="宋体"/>
                <w:color w:val="000000" w:themeColor="text1"/>
                <w:bdr w:val="none" w:color="auto" w:sz="0" w:space="0"/>
                <w:lang w:val="en-US" w:eastAsia="zh-CN" w:bidi="ar"/>
                <w14:textFill>
                  <w14:solidFill>
                    <w14:schemeClr w14:val="tx1"/>
                  </w14:solidFill>
                </w14:textFill>
              </w:rPr>
              <w:t xml:space="preserve">      </w:t>
            </w:r>
            <w:r>
              <w:rPr>
                <w:rStyle w:val="19"/>
                <w:color w:val="000000" w:themeColor="text1"/>
                <w:bdr w:val="none" w:color="auto" w:sz="0" w:space="0"/>
                <w:lang w:val="en-US" w:eastAsia="zh-CN" w:bidi="ar"/>
                <w14:textFill>
                  <w14:solidFill>
                    <w14:schemeClr w14:val="tx1"/>
                  </w14:solidFill>
                </w14:textFill>
              </w:rPr>
              <w:t>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574" w:type="dxa"/>
            <w:gridSpan w:val="3"/>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17</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302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126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176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综合技能</w:t>
            </w:r>
          </w:p>
        </w:tc>
        <w:tc>
          <w:tcPr>
            <w:tcW w:w="36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5-1</w:t>
            </w:r>
          </w:p>
        </w:tc>
        <w:tc>
          <w:tcPr>
            <w:tcW w:w="1719"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跟岗实习</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5-2</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顶岗实习</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18周</w:t>
            </w: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12"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5-3</w:t>
            </w: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毕业实习报告</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312"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rPr>
                <w:rFonts w:hint="eastAsia" w:ascii="宋体" w:hAnsi="宋体" w:eastAsia="宋体" w:cs="宋体"/>
                <w:i w:val="0"/>
                <w:color w:val="000000" w:themeColor="text1"/>
                <w:sz w:val="20"/>
                <w:szCs w:val="20"/>
                <w:u w:val="none"/>
                <w14:textFill>
                  <w14:solidFill>
                    <w14:schemeClr w14:val="tx1"/>
                  </w14:solidFill>
                </w14:textFill>
              </w:rPr>
            </w:pPr>
          </w:p>
        </w:tc>
        <w:tc>
          <w:tcPr>
            <w:tcW w:w="366"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合计</w:t>
            </w:r>
          </w:p>
        </w:tc>
        <w:tc>
          <w:tcPr>
            <w:tcW w:w="220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30</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520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520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19" w:hRule="atLeast"/>
        </w:trPr>
        <w:tc>
          <w:tcPr>
            <w:tcW w:w="67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总计</w:t>
            </w:r>
          </w:p>
        </w:tc>
        <w:tc>
          <w:tcPr>
            <w:tcW w:w="48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1468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462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1006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23</w:t>
            </w: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bookmarkStart w:id="0" w:name="_GoBack"/>
      <w:bookmarkEnd w:id="0"/>
      <w:r>
        <w:rPr>
          <w:rFonts w:hint="eastAsia" w:asciiTheme="majorEastAsia" w:hAnsiTheme="majorEastAsia" w:eastAsiaTheme="majorEastAsia" w:cstheme="majorEastAsia"/>
          <w:b/>
          <w:bCs/>
          <w:sz w:val="28"/>
          <w:szCs w:val="28"/>
          <w:lang w:val="en-US" w:eastAsia="zh-CN"/>
        </w:rPr>
        <w:t>十三、实施保障</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（一）师资队伍</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物流管理专业教学团队现为省级教学团队，目前拥有校内专兼职教师15名，校外企业兼职教师有12人。校内专兼职教师中，有省部级教学名师2人，有3名教授和6名副教授；校内专兼职教师全部具有硕士及以上学历，有博士1人，全部为“双师型”教师。</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（二）实践教学条件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物流管理专业现拥有校内1个省级实习实训基地和校外2个省级实践教育基地，且我校为安徽省物流协会副会长单位和安徽省冷链物流协会副会长单位为。这一系列的实践教学条件，能进一步强化实践教学，提升学生的技能操作水平和提高学生的竞争优势。</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表6：本专业校内主要实训场地情况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2278"/>
        <w:gridCol w:w="5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8522" w:type="dxa"/>
            <w:gridSpan w:val="3"/>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b/>
                <w:bCs/>
                <w:color w:val="000000"/>
                <w:sz w:val="21"/>
                <w:szCs w:val="21"/>
                <w:vertAlign w:val="baseline"/>
                <w:lang w:val="en-US" w:eastAsia="zh-CN"/>
              </w:rPr>
              <w:t>校内主要实训基地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739"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b/>
                <w:bCs/>
                <w:color w:val="000000"/>
                <w:sz w:val="21"/>
                <w:szCs w:val="21"/>
                <w:vertAlign w:val="baseline"/>
                <w:lang w:val="en-US" w:eastAsia="zh-CN"/>
              </w:rPr>
            </w:pPr>
            <w:r>
              <w:rPr>
                <w:rFonts w:hint="default" w:ascii="Times New Roman" w:hAnsi="Times New Roman" w:eastAsia="宋体" w:cs="Times New Roman"/>
                <w:b/>
                <w:bCs/>
                <w:color w:val="000000"/>
                <w:sz w:val="21"/>
                <w:szCs w:val="21"/>
                <w:vertAlign w:val="baseline"/>
                <w:lang w:val="en-US" w:eastAsia="zh-CN"/>
              </w:rPr>
              <w:t>序号</w:t>
            </w:r>
          </w:p>
        </w:tc>
        <w:tc>
          <w:tcPr>
            <w:tcW w:w="2278"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b/>
                <w:bCs/>
                <w:color w:val="000000"/>
                <w:sz w:val="21"/>
                <w:szCs w:val="21"/>
                <w:vertAlign w:val="baseline"/>
                <w:lang w:val="en-US" w:eastAsia="zh-CN"/>
              </w:rPr>
            </w:pPr>
            <w:r>
              <w:rPr>
                <w:rFonts w:hint="default" w:ascii="Times New Roman" w:hAnsi="Times New Roman" w:eastAsia="宋体" w:cs="Times New Roman"/>
                <w:b/>
                <w:bCs/>
                <w:color w:val="000000"/>
                <w:sz w:val="21"/>
                <w:szCs w:val="21"/>
                <w:vertAlign w:val="baseline"/>
                <w:lang w:val="en-US" w:eastAsia="zh-CN"/>
              </w:rPr>
              <w:t>主要实训室名称</w:t>
            </w:r>
          </w:p>
        </w:tc>
        <w:tc>
          <w:tcPr>
            <w:tcW w:w="5505"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b/>
                <w:bCs/>
                <w:color w:val="000000"/>
                <w:sz w:val="21"/>
                <w:szCs w:val="21"/>
                <w:vertAlign w:val="baseline"/>
                <w:lang w:val="en-US" w:eastAsia="zh-CN"/>
              </w:rPr>
            </w:pPr>
            <w:r>
              <w:rPr>
                <w:rFonts w:hint="default" w:ascii="Times New Roman" w:hAnsi="Times New Roman" w:eastAsia="宋体" w:cs="Times New Roman"/>
                <w:b/>
                <w:bCs/>
                <w:color w:val="000000"/>
                <w:sz w:val="21"/>
                <w:szCs w:val="21"/>
                <w:vertAlign w:val="baseline"/>
                <w:lang w:val="en-US" w:eastAsia="zh-CN"/>
              </w:rPr>
              <w:t>主要开展的实训项目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1</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仓配实训室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出入库作业，装车和路线优化，一体化物流作业等。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kern w:val="2"/>
                <w:sz w:val="21"/>
                <w:szCs w:val="21"/>
                <w:vertAlign w:val="baseline"/>
                <w:lang w:val="en-US" w:eastAsia="zh-CN" w:bidi="ar-SA"/>
              </w:rPr>
            </w:pPr>
            <w:r>
              <w:rPr>
                <w:rFonts w:hint="default" w:ascii="Times New Roman" w:hAnsi="Times New Roman" w:eastAsia="宋体" w:cs="Times New Roman"/>
                <w:color w:val="000000"/>
                <w:sz w:val="21"/>
                <w:szCs w:val="21"/>
                <w:vertAlign w:val="baseline"/>
                <w:lang w:val="en-US" w:eastAsia="zh-CN"/>
              </w:rPr>
              <w:t>2</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物流运输实训室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运输调度，合理化装车，运输线路设计等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kern w:val="2"/>
                <w:sz w:val="21"/>
                <w:szCs w:val="21"/>
                <w:vertAlign w:val="baseline"/>
                <w:lang w:val="en-US" w:eastAsia="zh-CN" w:bidi="ar-SA"/>
              </w:rPr>
            </w:pPr>
            <w:r>
              <w:rPr>
                <w:rFonts w:hint="default" w:ascii="Times New Roman" w:hAnsi="Times New Roman" w:eastAsia="宋体" w:cs="Times New Roman"/>
                <w:color w:val="000000"/>
                <w:sz w:val="21"/>
                <w:szCs w:val="21"/>
                <w:vertAlign w:val="baseline"/>
                <w:lang w:val="en-US" w:eastAsia="zh-CN"/>
              </w:rPr>
              <w:t>3</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物流信息实训室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WMS、TMS等常见物流软件操作，物流方案设计等。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kern w:val="2"/>
                <w:sz w:val="21"/>
                <w:szCs w:val="21"/>
                <w:vertAlign w:val="baseline"/>
                <w:lang w:val="en-US" w:eastAsia="zh-CN" w:bidi="ar-SA"/>
              </w:rPr>
            </w:pPr>
            <w:r>
              <w:rPr>
                <w:rFonts w:hint="default" w:ascii="Times New Roman" w:hAnsi="Times New Roman" w:eastAsia="宋体" w:cs="Times New Roman"/>
                <w:color w:val="000000"/>
                <w:sz w:val="21"/>
                <w:szCs w:val="21"/>
                <w:vertAlign w:val="baseline"/>
                <w:lang w:val="en-US" w:eastAsia="zh-CN"/>
              </w:rPr>
              <w:t>4</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冷链物流实训室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食品安全检测，冷储，制冷技术等。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5</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快递实训室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收发件、PDA操作、异常件处理等。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6</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1+X职业资格训练及认证场场地</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物流软件操作，仓储作业，物流安全等。</w:t>
            </w:r>
          </w:p>
        </w:tc>
      </w:tr>
    </w:tbl>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（三）教学资源</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物流管理专业课程教材选择严格遵循学校规定，选择近五年内的优质高职高专类规划教材。同时，联合企业共同开发课程和实习实训教材，设计技能考核办法和职业认证体系，制作专业核心课程的教学大纲、教学内容、教案与电子课件、实习实训指导书、考试系统与试题库及教学评价体系等；并在利用现有的开放网络教学资源的基础上，结合我校物流管理专业的发展与特性，积极储备并不断丰富在线开放课程资源，这些教学资源，能够满足学生专业学习、教师专业教学研究、教学实施和社会服务的需要。</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（四）教学方法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物流管理专业教学团队大力开展教学手段与方法的改革，实施以真实工作任务为载体的教学手段，形成多元化的教学方法，体现基于工作过程的教学指导思想。采用多媒体、计算机网络、云课堂等现代化教学手段，勇于探索各种信息化教学新模式，开展互动式教学、案例教学及仿真模拟实训，发挥学生的主观能动性，培养学生创新和实践能力。</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（五）教学评价</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目前，我校物流管理专业采用麦可思提供的教学质量管理平台实现对教师教学和学生学习的评价方式，能够收到较好的反馈效果。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1.课程考核分为考试和考查二种，形式多样，可以通过纸质试卷、计算机模拟、现场实操、方案、报告等多种方式进行。</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2.我校是教育部物流管理首批1+X</w:t>
      </w:r>
      <w:r>
        <w:rPr>
          <w:rFonts w:hint="default" w:asciiTheme="minorEastAsia" w:hAnsiTheme="minorEastAsia" w:eastAsiaTheme="minorEastAsia" w:cstheme="minorEastAsia"/>
          <w:sz w:val="24"/>
          <w:lang w:val="en-US" w:eastAsia="zh-CN"/>
        </w:rPr>
        <w:t>证书制度试点院校</w:t>
      </w:r>
      <w:r>
        <w:rPr>
          <w:rFonts w:hint="eastAsia" w:asciiTheme="minorEastAsia" w:hAnsiTheme="minorEastAsia" w:eastAsiaTheme="minorEastAsia" w:cstheme="minorEastAsia"/>
          <w:sz w:val="24"/>
          <w:lang w:val="en-US" w:eastAsia="zh-CN"/>
        </w:rPr>
        <w:t>之一，职业资格认证考核评价严格参照国家职业资格证书考核标准进行。</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（六）质量管理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物流管理专业注重加强教学质量保障体系建设，建立健全相应激励机制，成立包括教学副院长、教研室主任和教学督导组等人员在内的教学质量监控小组，及时收集教学信息，开展各种形式的教学质量监控工作，在教学质量的评估过程中，推行教学互评制度，实行教师自查、互评，实施教评学、学评教。</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定期召开教学例会，对存在的问题及时研究解决，有针对性地进行改进，了解学生对专业建设和教学管理的建议，了解用人单位的意见和要求，不断修订人才培养方案，推进教学改革，提高人才培养质量。</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十四、毕业要求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（一）学分要求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本专业毕业要求是通过2年的学习，要修满84学分、1468课时，完成规定的教学活动，毕业时达到相应的素质、知识和能力等方面的要求。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（二）职业资格证书要求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学生在毕业前，考取物流管理职业技能等级证书（中级）或</w:t>
      </w:r>
      <w:r>
        <w:rPr>
          <w:rFonts w:hint="eastAsia" w:asciiTheme="minorEastAsia" w:hAnsiTheme="minorEastAsia" w:eastAsiaTheme="minorEastAsia" w:cstheme="minorEastAsia"/>
          <w:bCs/>
          <w:sz w:val="24"/>
          <w:szCs w:val="24"/>
        </w:rPr>
        <w:t>采购从业人员职业能力等级认证（助理级）</w:t>
      </w:r>
      <w:r>
        <w:rPr>
          <w:rFonts w:hint="eastAsia" w:asciiTheme="minorEastAsia" w:hAnsiTheme="minorEastAsia" w:eastAsiaTheme="minorEastAsia" w:cstheme="minorEastAsia"/>
          <w:sz w:val="24"/>
          <w:lang w:val="en-US" w:eastAsia="zh-CN"/>
        </w:rPr>
        <w:t>等物流行业现有资格证书。</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十五、编制说明</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本次物流管理专业人才培养方案设计，是在对物流行业标杆企业和我校物流类毕业生问卷调研分析的基础上，由专业教师与企业专家共同研讨制定，并经我校物流管理专业教学委员会论证。</w:t>
      </w:r>
    </w:p>
    <w:p>
      <w:pPr>
        <w:spacing w:line="360" w:lineRule="auto"/>
        <w:ind w:firstLine="480" w:firstLineChars="200"/>
        <w:rPr>
          <w:rFonts w:hint="eastAsia" w:ascii="宋体" w:hAnsi="宋体"/>
          <w:color w:val="000000"/>
          <w:sz w:val="24"/>
        </w:rPr>
      </w:pPr>
    </w:p>
    <w:p>
      <w:pPr>
        <w:spacing w:line="360" w:lineRule="auto"/>
        <w:ind w:firstLine="480" w:firstLineChars="200"/>
        <w:rPr>
          <w:rFonts w:hint="eastAsia" w:ascii="宋体" w:hAnsi="宋体"/>
          <w:color w:val="000000"/>
          <w:sz w:val="24"/>
        </w:rPr>
      </w:pP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物流管理教研室</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宋体" w:hAnsi="宋体" w:eastAsia="宋体" w:cs="宋体"/>
          <w:sz w:val="24"/>
          <w:szCs w:val="24"/>
          <w:lang w:eastAsia="zh-CN"/>
        </w:rPr>
      </w:pPr>
      <w:r>
        <w:rPr>
          <w:rFonts w:hint="eastAsia" w:asciiTheme="minorEastAsia" w:hAnsiTheme="minorEastAsia" w:eastAsiaTheme="minorEastAsia" w:cstheme="minorEastAsia"/>
          <w:sz w:val="24"/>
          <w:lang w:val="en-US" w:eastAsia="zh-CN"/>
        </w:rPr>
        <w:t>二〇二〇年五月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743DD"/>
    <w:rsid w:val="003D27FA"/>
    <w:rsid w:val="00420B14"/>
    <w:rsid w:val="004E3571"/>
    <w:rsid w:val="00526E1D"/>
    <w:rsid w:val="006C126F"/>
    <w:rsid w:val="007F37AB"/>
    <w:rsid w:val="008317D9"/>
    <w:rsid w:val="00865F84"/>
    <w:rsid w:val="00A350D4"/>
    <w:rsid w:val="00BB0C4A"/>
    <w:rsid w:val="00C66C97"/>
    <w:rsid w:val="058711A1"/>
    <w:rsid w:val="099C4B91"/>
    <w:rsid w:val="0EC74459"/>
    <w:rsid w:val="18826805"/>
    <w:rsid w:val="19A96383"/>
    <w:rsid w:val="204F5759"/>
    <w:rsid w:val="297402AF"/>
    <w:rsid w:val="2BD1780A"/>
    <w:rsid w:val="2C182035"/>
    <w:rsid w:val="2F2118F0"/>
    <w:rsid w:val="2F5F2C5B"/>
    <w:rsid w:val="31474DD0"/>
    <w:rsid w:val="352517FA"/>
    <w:rsid w:val="3B415A14"/>
    <w:rsid w:val="3D366C67"/>
    <w:rsid w:val="3DDA62FD"/>
    <w:rsid w:val="45B87D07"/>
    <w:rsid w:val="49C240A5"/>
    <w:rsid w:val="4AC07A7E"/>
    <w:rsid w:val="4DE36195"/>
    <w:rsid w:val="4F4C6D6C"/>
    <w:rsid w:val="51210317"/>
    <w:rsid w:val="515B6416"/>
    <w:rsid w:val="52735D7F"/>
    <w:rsid w:val="568A1969"/>
    <w:rsid w:val="5A916A6E"/>
    <w:rsid w:val="5AF53547"/>
    <w:rsid w:val="5BF01CA5"/>
    <w:rsid w:val="5CC22C45"/>
    <w:rsid w:val="5CEF7F9B"/>
    <w:rsid w:val="62C7354F"/>
    <w:rsid w:val="65356C27"/>
    <w:rsid w:val="66D816DA"/>
    <w:rsid w:val="7B015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 w:val="21"/>
      <w:szCs w:val="21"/>
    </w:rPr>
  </w:style>
  <w:style w:type="paragraph" w:styleId="3">
    <w:name w:val="Balloon Text"/>
    <w:basedOn w:val="1"/>
    <w:link w:val="9"/>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Char"/>
    <w:basedOn w:val="8"/>
    <w:link w:val="3"/>
    <w:semiHidden/>
    <w:uiPriority w:val="99"/>
    <w:rPr>
      <w:rFonts w:ascii="Times New Roman" w:hAnsi="Times New Roman" w:eastAsia="仿宋_GB2312" w:cs="Times New Roman"/>
      <w:sz w:val="18"/>
      <w:szCs w:val="18"/>
    </w:rPr>
  </w:style>
  <w:style w:type="character" w:customStyle="1" w:styleId="10">
    <w:name w:val="页眉 Char"/>
    <w:basedOn w:val="8"/>
    <w:link w:val="5"/>
    <w:qFormat/>
    <w:uiPriority w:val="99"/>
    <w:rPr>
      <w:rFonts w:ascii="Times New Roman" w:hAnsi="Times New Roman" w:eastAsia="仿宋_GB2312" w:cs="Times New Roman"/>
      <w:sz w:val="18"/>
      <w:szCs w:val="18"/>
    </w:rPr>
  </w:style>
  <w:style w:type="character" w:customStyle="1" w:styleId="11">
    <w:name w:val="页脚 Char"/>
    <w:basedOn w:val="8"/>
    <w:link w:val="4"/>
    <w:qFormat/>
    <w:uiPriority w:val="99"/>
    <w:rPr>
      <w:rFonts w:ascii="Times New Roman" w:hAnsi="Times New Roman" w:eastAsia="仿宋_GB2312" w:cs="Times New Roman"/>
      <w:sz w:val="18"/>
      <w:szCs w:val="18"/>
    </w:rPr>
  </w:style>
  <w:style w:type="character" w:customStyle="1" w:styleId="12">
    <w:name w:val="font01"/>
    <w:basedOn w:val="8"/>
    <w:qFormat/>
    <w:uiPriority w:val="0"/>
    <w:rPr>
      <w:rFonts w:hint="default" w:ascii="Times New Roman" w:hAnsi="Times New Roman" w:cs="Times New Roman"/>
      <w:color w:val="000000"/>
      <w:sz w:val="20"/>
      <w:szCs w:val="20"/>
      <w:u w:val="none"/>
    </w:rPr>
  </w:style>
  <w:style w:type="character" w:customStyle="1" w:styleId="13">
    <w:name w:val="font31"/>
    <w:basedOn w:val="8"/>
    <w:qFormat/>
    <w:uiPriority w:val="0"/>
    <w:rPr>
      <w:rFonts w:hint="eastAsia" w:ascii="宋体" w:hAnsi="宋体" w:eastAsia="宋体" w:cs="宋体"/>
      <w:color w:val="000000"/>
      <w:sz w:val="20"/>
      <w:szCs w:val="20"/>
      <w:u w:val="none"/>
    </w:rPr>
  </w:style>
  <w:style w:type="character" w:customStyle="1" w:styleId="14">
    <w:name w:val="font11"/>
    <w:basedOn w:val="8"/>
    <w:qFormat/>
    <w:uiPriority w:val="0"/>
    <w:rPr>
      <w:rFonts w:hint="default" w:ascii="Times New Roman" w:hAnsi="Times New Roman" w:cs="Times New Roman"/>
      <w:color w:val="000000"/>
      <w:sz w:val="20"/>
      <w:szCs w:val="20"/>
      <w:u w:val="none"/>
    </w:rPr>
  </w:style>
  <w:style w:type="character" w:customStyle="1" w:styleId="15">
    <w:name w:val="font41"/>
    <w:basedOn w:val="8"/>
    <w:qFormat/>
    <w:uiPriority w:val="0"/>
    <w:rPr>
      <w:rFonts w:hint="eastAsia" w:ascii="宋体" w:hAnsi="宋体" w:eastAsia="宋体" w:cs="宋体"/>
      <w:color w:val="000000"/>
      <w:sz w:val="20"/>
      <w:szCs w:val="20"/>
      <w:u w:val="none"/>
    </w:rPr>
  </w:style>
  <w:style w:type="character" w:customStyle="1" w:styleId="16">
    <w:name w:val="font71"/>
    <w:basedOn w:val="8"/>
    <w:qFormat/>
    <w:uiPriority w:val="0"/>
    <w:rPr>
      <w:rFonts w:hint="default" w:ascii="Times New Roman" w:hAnsi="Times New Roman" w:cs="Times New Roman"/>
      <w:color w:val="000000"/>
      <w:sz w:val="20"/>
      <w:szCs w:val="20"/>
      <w:u w:val="none"/>
    </w:rPr>
  </w:style>
  <w:style w:type="character" w:customStyle="1" w:styleId="17">
    <w:name w:val="font51"/>
    <w:basedOn w:val="8"/>
    <w:qFormat/>
    <w:uiPriority w:val="0"/>
    <w:rPr>
      <w:rFonts w:hint="default" w:ascii="Times New Roman" w:hAnsi="Times New Roman" w:cs="Times New Roman"/>
      <w:color w:val="000000"/>
      <w:sz w:val="20"/>
      <w:szCs w:val="20"/>
      <w:u w:val="none"/>
    </w:rPr>
  </w:style>
  <w:style w:type="character" w:customStyle="1" w:styleId="18">
    <w:name w:val="font21"/>
    <w:basedOn w:val="8"/>
    <w:uiPriority w:val="0"/>
    <w:rPr>
      <w:rFonts w:hint="default" w:ascii="Times New Roman" w:hAnsi="Times New Roman" w:cs="Times New Roman"/>
      <w:color w:val="000000"/>
      <w:sz w:val="20"/>
      <w:szCs w:val="20"/>
      <w:u w:val="none"/>
    </w:rPr>
  </w:style>
  <w:style w:type="character" w:customStyle="1" w:styleId="19">
    <w:name w:val="font61"/>
    <w:basedOn w:val="8"/>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47</Words>
  <Characters>274</Characters>
  <Lines>2</Lines>
  <Paragraphs>1</Paragraphs>
  <TotalTime>4</TotalTime>
  <ScaleCrop>false</ScaleCrop>
  <LinksUpToDate>false</LinksUpToDate>
  <CharactersWithSpaces>320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2019-08-30T02:09:00Z</dcterms:created>
  <dc:creator>濮光宁</dc:creator>
  <cp:lastModifiedBy>曹金新</cp:lastModifiedBy>
  <cp:lastPrinted>2019-08-30T02:38:00Z</cp:lastPrinted>
  <dcterms:modified xsi:type="dcterms:W3CDTF">2020-06-23T08:47:04Z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