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624" w:beforeLines="200"/>
        <w:jc w:val="left"/>
        <w:rPr>
          <w:rFonts w:ascii="宋体" w:hAnsi="宋体" w:eastAsia="宋体"/>
          <w:b/>
          <w:color w:val="000000" w:themeColor="text1"/>
          <w:kern w:val="0"/>
          <w:sz w:val="44"/>
          <w:szCs w:val="44"/>
          <w14:textFill>
            <w14:solidFill>
              <w14:schemeClr w14:val="tx1"/>
            </w14:solidFill>
          </w14:textFill>
        </w:rPr>
      </w:pPr>
      <w:r>
        <w:rPr>
          <w:rFonts w:hint="eastAsia" w:ascii="黑体" w:hAnsi="黑体" w:eastAsia="黑体"/>
          <w:b/>
          <w:color w:val="000000" w:themeColor="text1"/>
          <w:sz w:val="56"/>
          <w:szCs w:val="72"/>
          <w14:textFill>
            <w14:solidFill>
              <w14:schemeClr w14:val="tx1"/>
            </w14:solidFill>
          </w14:textFill>
        </w:rPr>
        <w:drawing>
          <wp:anchor distT="0" distB="0" distL="114300" distR="114300" simplePos="0" relativeHeight="251659264" behindDoc="0" locked="0" layoutInCell="1" allowOverlap="1">
            <wp:simplePos x="0" y="0"/>
            <wp:positionH relativeFrom="column">
              <wp:posOffset>142240</wp:posOffset>
            </wp:positionH>
            <wp:positionV relativeFrom="paragraph">
              <wp:posOffset>656590</wp:posOffset>
            </wp:positionV>
            <wp:extent cx="638175" cy="638175"/>
            <wp:effectExtent l="0" t="0" r="9525" b="9525"/>
            <wp:wrapSquare wrapText="bothSides"/>
            <wp:docPr id="1" name="图片 2" descr="t013cf7df1e0df295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t013cf7df1e0df2954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638175" cy="638175"/>
                    </a:xfrm>
                    <a:prstGeom prst="rect">
                      <a:avLst/>
                    </a:prstGeom>
                    <a:noFill/>
                    <a:ln w="9525" cmpd="sng">
                      <a:noFill/>
                      <a:miter lim="800000"/>
                      <a:headEnd/>
                      <a:tailEnd/>
                    </a:ln>
                  </pic:spPr>
                </pic:pic>
              </a:graphicData>
            </a:graphic>
          </wp:anchor>
        </w:drawing>
      </w:r>
    </w:p>
    <w:p>
      <w:pPr>
        <w:widowControl/>
        <w:spacing w:before="624" w:beforeLines="200"/>
        <w:jc w:val="center"/>
        <w:rPr>
          <w:rFonts w:ascii="宋体" w:hAnsi="宋体" w:eastAsia="宋体"/>
          <w:b/>
          <w:color w:val="000000" w:themeColor="text1"/>
          <w:kern w:val="0"/>
          <w:sz w:val="44"/>
          <w:szCs w:val="44"/>
          <w14:textFill>
            <w14:solidFill>
              <w14:schemeClr w14:val="tx1"/>
            </w14:solidFill>
          </w14:textFill>
        </w:rPr>
      </w:pPr>
      <w:r>
        <w:rPr>
          <w:color w:val="000000" w:themeColor="text1"/>
          <w14:textFill>
            <w14:solidFill>
              <w14:schemeClr w14:val="tx1"/>
            </w14:solidFill>
          </w14:textFill>
        </w:rPr>
        <w:drawing>
          <wp:anchor distT="0" distB="0" distL="114300" distR="114300" simplePos="0" relativeHeight="251658240" behindDoc="0" locked="0" layoutInCell="1" allowOverlap="1">
            <wp:simplePos x="0" y="0"/>
            <wp:positionH relativeFrom="column">
              <wp:posOffset>-66040</wp:posOffset>
            </wp:positionH>
            <wp:positionV relativeFrom="paragraph">
              <wp:posOffset>45720</wp:posOffset>
            </wp:positionV>
            <wp:extent cx="2809875" cy="354965"/>
            <wp:effectExtent l="0" t="0" r="9525" b="6985"/>
            <wp:wrapSquare wrapText="bothSides"/>
            <wp:docPr id="2054" name="Picture 6" descr="院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 name="Picture 6" descr="院名"/>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2809875" cy="354965"/>
                    </a:xfrm>
                    <a:prstGeom prst="rect">
                      <a:avLst/>
                    </a:prstGeom>
                    <a:noFill/>
                  </pic:spPr>
                </pic:pic>
              </a:graphicData>
            </a:graphic>
          </wp:anchor>
        </w:drawing>
      </w:r>
    </w:p>
    <w:p>
      <w:pPr>
        <w:widowControl/>
        <w:spacing w:before="312" w:beforeLines="100"/>
        <w:jc w:val="center"/>
        <w:rPr>
          <w:rFonts w:ascii="宋体" w:hAnsi="宋体" w:eastAsia="宋体"/>
          <w:b/>
          <w:color w:val="000000" w:themeColor="text1"/>
          <w:kern w:val="0"/>
          <w:sz w:val="44"/>
          <w:szCs w:val="44"/>
          <w14:textFill>
            <w14:solidFill>
              <w14:schemeClr w14:val="tx1"/>
            </w14:solidFill>
          </w14:textFill>
        </w:rPr>
      </w:pPr>
    </w:p>
    <w:p>
      <w:pPr>
        <w:widowControl/>
        <w:spacing w:before="312" w:beforeLines="100"/>
        <w:jc w:val="center"/>
        <w:rPr>
          <w:rFonts w:ascii="宋体" w:hAnsi="宋体" w:eastAsia="宋体"/>
          <w:b/>
          <w:color w:val="000000" w:themeColor="text1"/>
          <w:kern w:val="0"/>
          <w:sz w:val="44"/>
          <w:szCs w:val="44"/>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157" w:beforeLines="50" w:line="800" w:lineRule="exact"/>
        <w:jc w:val="center"/>
        <w:textAlignment w:val="auto"/>
        <w:rPr>
          <w:rFonts w:asciiTheme="minorEastAsia" w:hAnsiTheme="minorEastAsia" w:eastAsiaTheme="minorEastAsia"/>
          <w:b/>
          <w:color w:val="000000" w:themeColor="text1"/>
          <w:kern w:val="0"/>
          <w:sz w:val="44"/>
          <w:szCs w:val="44"/>
          <w14:textFill>
            <w14:solidFill>
              <w14:schemeClr w14:val="tx1"/>
            </w14:solidFill>
          </w14:textFill>
        </w:rPr>
      </w:pPr>
      <w:r>
        <w:rPr>
          <w:rFonts w:hint="eastAsia" w:asciiTheme="minorEastAsia" w:hAnsiTheme="minorEastAsia" w:eastAsiaTheme="minorEastAsia"/>
          <w:b/>
          <w:color w:val="000000" w:themeColor="text1"/>
          <w:sz w:val="44"/>
          <w:szCs w:val="44"/>
          <w14:textFill>
            <w14:solidFill>
              <w14:schemeClr w14:val="tx1"/>
            </w14:solidFill>
          </w14:textFill>
        </w:rPr>
        <w:t>20</w:t>
      </w:r>
      <w:r>
        <w:rPr>
          <w:rFonts w:hint="eastAsia" w:asciiTheme="minorEastAsia" w:hAnsiTheme="minorEastAsia" w:eastAsiaTheme="minorEastAsia"/>
          <w:b/>
          <w:color w:val="000000" w:themeColor="text1"/>
          <w:sz w:val="44"/>
          <w:szCs w:val="44"/>
          <w:lang w:val="en-US" w:eastAsia="zh-CN"/>
          <w14:textFill>
            <w14:solidFill>
              <w14:schemeClr w14:val="tx1"/>
            </w14:solidFill>
          </w14:textFill>
        </w:rPr>
        <w:t>20</w:t>
      </w:r>
      <w:r>
        <w:rPr>
          <w:rFonts w:hint="eastAsia" w:asciiTheme="minorEastAsia" w:hAnsiTheme="minorEastAsia" w:eastAsiaTheme="minorEastAsia"/>
          <w:b/>
          <w:color w:val="000000" w:themeColor="text1"/>
          <w:kern w:val="0"/>
          <w:sz w:val="44"/>
          <w:szCs w:val="44"/>
          <w14:textFill>
            <w14:solidFill>
              <w14:schemeClr w14:val="tx1"/>
            </w14:solidFill>
          </w14:textFill>
        </w:rPr>
        <w:t>级三年制（高职）</w:t>
      </w:r>
      <w:r>
        <w:rPr>
          <w:rFonts w:hint="eastAsia" w:asciiTheme="minorEastAsia" w:hAnsiTheme="minorEastAsia" w:eastAsiaTheme="minorEastAsia"/>
          <w:b/>
          <w:color w:val="000000" w:themeColor="text1"/>
          <w:kern w:val="0"/>
          <w:sz w:val="44"/>
          <w:szCs w:val="44"/>
          <w:lang w:val="en-US" w:eastAsia="zh-CN"/>
          <w14:textFill>
            <w14:solidFill>
              <w14:schemeClr w14:val="tx1"/>
            </w14:solidFill>
          </w14:textFill>
        </w:rPr>
        <w:t>物流管理</w:t>
      </w:r>
      <w:r>
        <w:rPr>
          <w:rFonts w:hint="eastAsia" w:asciiTheme="minorEastAsia" w:hAnsiTheme="minorEastAsia" w:eastAsiaTheme="minorEastAsia"/>
          <w:b/>
          <w:color w:val="000000" w:themeColor="text1"/>
          <w:kern w:val="0"/>
          <w:sz w:val="44"/>
          <w:szCs w:val="44"/>
          <w14:textFill>
            <w14:solidFill>
              <w14:schemeClr w14:val="tx1"/>
            </w14:solidFill>
          </w14:textFill>
        </w:rPr>
        <w:t>专业</w:t>
      </w:r>
    </w:p>
    <w:p>
      <w:pPr>
        <w:keepNext w:val="0"/>
        <w:keepLines w:val="0"/>
        <w:pageBreakBefore w:val="0"/>
        <w:widowControl/>
        <w:kinsoku/>
        <w:wordWrap/>
        <w:overflowPunct/>
        <w:topLinePunct w:val="0"/>
        <w:autoSpaceDE/>
        <w:autoSpaceDN/>
        <w:bidi w:val="0"/>
        <w:adjustRightInd/>
        <w:snapToGrid/>
        <w:spacing w:before="157" w:beforeLines="50" w:line="800" w:lineRule="exact"/>
        <w:jc w:val="center"/>
        <w:textAlignment w:val="auto"/>
        <w:rPr>
          <w:rFonts w:hint="eastAsia" w:asciiTheme="minorEastAsia" w:hAnsiTheme="minorEastAsia" w:eastAsiaTheme="minorEastAsia"/>
          <w:b/>
          <w:color w:val="000000" w:themeColor="text1"/>
          <w:kern w:val="0"/>
          <w:sz w:val="44"/>
          <w:szCs w:val="44"/>
          <w:lang w:val="en-US" w:eastAsia="zh-CN"/>
          <w14:textFill>
            <w14:solidFill>
              <w14:schemeClr w14:val="tx1"/>
            </w14:solidFill>
          </w14:textFill>
        </w:rPr>
      </w:pPr>
      <w:r>
        <w:rPr>
          <w:rFonts w:hint="eastAsia" w:asciiTheme="minorEastAsia" w:hAnsiTheme="minorEastAsia" w:eastAsiaTheme="minorEastAsia"/>
          <w:b/>
          <w:color w:val="000000" w:themeColor="text1"/>
          <w:kern w:val="0"/>
          <w:sz w:val="44"/>
          <w:szCs w:val="44"/>
          <w:lang w:val="en-US" w:eastAsia="zh-CN"/>
          <w14:textFill>
            <w14:solidFill>
              <w14:schemeClr w14:val="tx1"/>
            </w14:solidFill>
          </w14:textFill>
        </w:rPr>
        <w:t>人才培养方案</w:t>
      </w:r>
    </w:p>
    <w:p>
      <w:pPr>
        <w:widowControl/>
        <w:jc w:val="left"/>
        <w:rPr>
          <w:rFonts w:eastAsia="宋体"/>
          <w:color w:val="000000" w:themeColor="text1"/>
          <w:kern w:val="0"/>
          <w14:textFill>
            <w14:solidFill>
              <w14:schemeClr w14:val="tx1"/>
            </w14:solidFill>
          </w14:textFill>
        </w:rPr>
      </w:pPr>
    </w:p>
    <w:p>
      <w:pPr>
        <w:widowControl/>
        <w:jc w:val="left"/>
        <w:rPr>
          <w:rFonts w:eastAsia="宋体"/>
          <w:color w:val="000000" w:themeColor="text1"/>
          <w:kern w:val="0"/>
          <w14:textFill>
            <w14:solidFill>
              <w14:schemeClr w14:val="tx1"/>
            </w14:solidFill>
          </w14:textFill>
        </w:rPr>
      </w:pPr>
    </w:p>
    <w:p>
      <w:pPr>
        <w:widowControl/>
        <w:jc w:val="left"/>
        <w:rPr>
          <w:rFonts w:asciiTheme="majorEastAsia" w:hAnsiTheme="majorEastAsia" w:eastAsiaTheme="majorEastAsia"/>
          <w:color w:val="000000" w:themeColor="text1"/>
          <w:kern w:val="0"/>
          <w14:textFill>
            <w14:solidFill>
              <w14:schemeClr w14:val="tx1"/>
            </w14:solidFill>
          </w14:textFill>
        </w:rPr>
      </w:pPr>
    </w:p>
    <w:p>
      <w:pPr>
        <w:widowControl/>
        <w:spacing w:line="800" w:lineRule="exact"/>
        <w:ind w:firstLine="1275" w:firstLineChars="397"/>
        <w:jc w:val="left"/>
        <w:rPr>
          <w:rFonts w:ascii="宋体" w:hAnsi="宋体" w:eastAsia="宋体"/>
          <w:b/>
          <w:bCs/>
          <w:color w:val="000000" w:themeColor="text1"/>
          <w:kern w:val="0"/>
          <w14:textFill>
            <w14:solidFill>
              <w14:schemeClr w14:val="tx1"/>
            </w14:solidFill>
          </w14:textFill>
        </w:rPr>
      </w:pPr>
      <w:r>
        <w:rPr>
          <w:rFonts w:hint="eastAsia" w:ascii="宋体" w:hAnsi="宋体" w:eastAsia="宋体"/>
          <w:b/>
          <w:color w:val="000000" w:themeColor="text1"/>
          <w:kern w:val="0"/>
          <w14:textFill>
            <w14:solidFill>
              <w14:schemeClr w14:val="tx1"/>
            </w14:solidFill>
          </w14:textFill>
        </w:rPr>
        <w:t>专业名称：</w:t>
      </w:r>
      <w:r>
        <w:rPr>
          <w:rFonts w:hint="eastAsia" w:ascii="宋体" w:hAnsi="宋体" w:eastAsia="宋体"/>
          <w:b/>
          <w:color w:val="000000" w:themeColor="text1"/>
          <w:kern w:val="0"/>
          <w:u w:val="single"/>
          <w14:textFill>
            <w14:solidFill>
              <w14:schemeClr w14:val="tx1"/>
            </w14:solidFill>
          </w14:textFill>
        </w:rPr>
        <w:t xml:space="preserve"> </w:t>
      </w:r>
      <w:r>
        <w:rPr>
          <w:rFonts w:hint="eastAsia" w:ascii="宋体" w:hAnsi="宋体" w:eastAsia="宋体"/>
          <w:b/>
          <w:bCs/>
          <w:color w:val="000000" w:themeColor="text1"/>
          <w:kern w:val="0"/>
          <w:u w:val="single"/>
          <w14:textFill>
            <w14:solidFill>
              <w14:schemeClr w14:val="tx1"/>
            </w14:solidFill>
          </w14:textFill>
        </w:rPr>
        <w:t xml:space="preserve">      </w:t>
      </w:r>
      <w:r>
        <w:rPr>
          <w:rFonts w:hint="eastAsia" w:ascii="宋体" w:hAnsi="宋体" w:eastAsia="宋体"/>
          <w:b/>
          <w:bCs/>
          <w:color w:val="000000" w:themeColor="text1"/>
          <w:kern w:val="0"/>
          <w:u w:val="single"/>
          <w:lang w:val="en-US" w:eastAsia="zh-CN"/>
          <w14:textFill>
            <w14:solidFill>
              <w14:schemeClr w14:val="tx1"/>
            </w14:solidFill>
          </w14:textFill>
        </w:rPr>
        <w:t xml:space="preserve"> 物流管理</w:t>
      </w:r>
      <w:r>
        <w:rPr>
          <w:rFonts w:hint="eastAsia" w:ascii="宋体" w:hAnsi="宋体" w:eastAsia="宋体"/>
          <w:b/>
          <w:bCs/>
          <w:color w:val="000000" w:themeColor="text1"/>
          <w:kern w:val="0"/>
          <w:u w:val="single"/>
          <w14:textFill>
            <w14:solidFill>
              <w14:schemeClr w14:val="tx1"/>
            </w14:solidFill>
          </w14:textFill>
        </w:rPr>
        <w:t xml:space="preserve">   </w:t>
      </w:r>
      <w:r>
        <w:rPr>
          <w:rFonts w:hint="eastAsia" w:ascii="宋体" w:hAnsi="宋体" w:eastAsia="宋体"/>
          <w:b/>
          <w:bCs/>
          <w:color w:val="000000" w:themeColor="text1"/>
          <w:kern w:val="0"/>
          <w:u w:val="single"/>
          <w:lang w:val="en-US" w:eastAsia="zh-CN"/>
          <w14:textFill>
            <w14:solidFill>
              <w14:schemeClr w14:val="tx1"/>
            </w14:solidFill>
          </w14:textFill>
        </w:rPr>
        <w:t xml:space="preserve">  </w:t>
      </w:r>
      <w:r>
        <w:rPr>
          <w:rFonts w:hint="eastAsia" w:ascii="宋体" w:hAnsi="宋体" w:eastAsia="宋体"/>
          <w:b/>
          <w:bCs/>
          <w:color w:val="000000" w:themeColor="text1"/>
          <w:kern w:val="0"/>
          <w:u w:val="single"/>
          <w14:textFill>
            <w14:solidFill>
              <w14:schemeClr w14:val="tx1"/>
            </w14:solidFill>
          </w14:textFill>
        </w:rPr>
        <w:t xml:space="preserve">    </w:t>
      </w:r>
    </w:p>
    <w:p>
      <w:pPr>
        <w:widowControl/>
        <w:spacing w:line="800" w:lineRule="exact"/>
        <w:ind w:firstLine="1275" w:firstLineChars="397"/>
        <w:jc w:val="left"/>
        <w:rPr>
          <w:rFonts w:ascii="宋体" w:hAnsi="宋体" w:eastAsia="宋体"/>
          <w:b/>
          <w:bCs/>
          <w:color w:val="000000" w:themeColor="text1"/>
          <w:kern w:val="0"/>
          <w:u w:val="single"/>
          <w14:textFill>
            <w14:solidFill>
              <w14:schemeClr w14:val="tx1"/>
            </w14:solidFill>
          </w14:textFill>
        </w:rPr>
      </w:pPr>
      <w:r>
        <w:rPr>
          <w:rFonts w:hint="eastAsia" w:ascii="宋体" w:hAnsi="宋体" w:eastAsia="宋体"/>
          <w:b/>
          <w:color w:val="000000" w:themeColor="text1"/>
          <w:kern w:val="0"/>
          <w14:textFill>
            <w14:solidFill>
              <w14:schemeClr w14:val="tx1"/>
            </w14:solidFill>
          </w14:textFill>
        </w:rPr>
        <w:t>专业代码：</w:t>
      </w:r>
      <w:r>
        <w:rPr>
          <w:rFonts w:hint="eastAsia" w:ascii="宋体" w:hAnsi="宋体" w:eastAsia="宋体"/>
          <w:b/>
          <w:bCs/>
          <w:color w:val="000000" w:themeColor="text1"/>
          <w:kern w:val="0"/>
          <w:u w:val="single"/>
          <w14:textFill>
            <w14:solidFill>
              <w14:schemeClr w14:val="tx1"/>
            </w14:solidFill>
          </w14:textFill>
        </w:rPr>
        <w:t xml:space="preserve">      </w:t>
      </w:r>
      <w:r>
        <w:rPr>
          <w:rFonts w:hint="eastAsia" w:ascii="宋体" w:hAnsi="宋体" w:eastAsia="宋体"/>
          <w:b/>
          <w:bCs/>
          <w:color w:val="000000" w:themeColor="text1"/>
          <w:kern w:val="0"/>
          <w:u w:val="single"/>
          <w:lang w:val="en-US" w:eastAsia="zh-CN"/>
          <w14:textFill>
            <w14:solidFill>
              <w14:schemeClr w14:val="tx1"/>
            </w14:solidFill>
          </w14:textFill>
        </w:rPr>
        <w:t xml:space="preserve">  </w:t>
      </w:r>
      <w:r>
        <w:rPr>
          <w:rFonts w:hint="eastAsia" w:ascii="宋体" w:hAnsi="宋体" w:eastAsia="宋体"/>
          <w:b/>
          <w:bCs/>
          <w:color w:val="000000" w:themeColor="text1"/>
          <w:kern w:val="0"/>
          <w:u w:val="single"/>
          <w14:textFill>
            <w14:solidFill>
              <w14:schemeClr w14:val="tx1"/>
            </w14:solidFill>
          </w14:textFill>
        </w:rPr>
        <w:t xml:space="preserve"> </w:t>
      </w:r>
      <w:r>
        <w:rPr>
          <w:rFonts w:hint="eastAsia" w:ascii="宋体" w:hAnsi="宋体" w:eastAsia="宋体"/>
          <w:b/>
          <w:bCs/>
          <w:color w:val="000000" w:themeColor="text1"/>
          <w:kern w:val="0"/>
          <w:u w:val="single"/>
          <w:lang w:val="en-US" w:eastAsia="zh-CN"/>
          <w14:textFill>
            <w14:solidFill>
              <w14:schemeClr w14:val="tx1"/>
            </w14:solidFill>
          </w14:textFill>
        </w:rPr>
        <w:t>630903</w:t>
      </w:r>
      <w:r>
        <w:rPr>
          <w:rFonts w:hint="eastAsia" w:ascii="宋体" w:hAnsi="宋体" w:eastAsia="宋体"/>
          <w:b/>
          <w:bCs/>
          <w:color w:val="000000" w:themeColor="text1"/>
          <w:kern w:val="0"/>
          <w:u w:val="single"/>
          <w14:textFill>
            <w14:solidFill>
              <w14:schemeClr w14:val="tx1"/>
            </w14:solidFill>
          </w14:textFill>
        </w:rPr>
        <w:t xml:space="preserve">          </w:t>
      </w:r>
    </w:p>
    <w:p>
      <w:pPr>
        <w:widowControl/>
        <w:spacing w:line="800" w:lineRule="exact"/>
        <w:ind w:firstLine="1275" w:firstLineChars="397"/>
        <w:jc w:val="left"/>
        <w:rPr>
          <w:rFonts w:ascii="宋体" w:hAnsi="宋体" w:eastAsia="宋体"/>
          <w:b/>
          <w:color w:val="000000" w:themeColor="text1"/>
          <w:kern w:val="0"/>
          <w:u w:val="single"/>
          <w14:textFill>
            <w14:solidFill>
              <w14:schemeClr w14:val="tx1"/>
            </w14:solidFill>
          </w14:textFill>
        </w:rPr>
      </w:pPr>
      <w:r>
        <w:rPr>
          <w:rFonts w:hint="eastAsia" w:ascii="宋体" w:hAnsi="宋体" w:eastAsia="宋体"/>
          <w:b/>
          <w:color w:val="000000" w:themeColor="text1"/>
          <w:kern w:val="0"/>
          <w14:textFill>
            <w14:solidFill>
              <w14:schemeClr w14:val="tx1"/>
            </w14:solidFill>
          </w14:textFill>
        </w:rPr>
        <w:t>制定院系：</w:t>
      </w:r>
      <w:r>
        <w:rPr>
          <w:rFonts w:hint="eastAsia" w:ascii="宋体" w:hAnsi="宋体" w:eastAsia="宋体"/>
          <w:b/>
          <w:bCs/>
          <w:color w:val="000000" w:themeColor="text1"/>
          <w:kern w:val="0"/>
          <w:u w:val="single"/>
          <w14:textFill>
            <w14:solidFill>
              <w14:schemeClr w14:val="tx1"/>
            </w14:solidFill>
          </w14:textFill>
        </w:rPr>
        <w:t xml:space="preserve">     </w:t>
      </w:r>
      <w:r>
        <w:rPr>
          <w:rFonts w:hint="eastAsia" w:ascii="宋体" w:hAnsi="宋体" w:eastAsia="宋体"/>
          <w:b/>
          <w:bCs/>
          <w:color w:val="000000" w:themeColor="text1"/>
          <w:kern w:val="0"/>
          <w:u w:val="single"/>
          <w:lang w:val="en-US" w:eastAsia="zh-CN"/>
          <w14:textFill>
            <w14:solidFill>
              <w14:schemeClr w14:val="tx1"/>
            </w14:solidFill>
          </w14:textFill>
        </w:rPr>
        <w:t xml:space="preserve"> 行知管理学院</w:t>
      </w:r>
      <w:r>
        <w:rPr>
          <w:rFonts w:hint="eastAsia" w:ascii="宋体" w:hAnsi="宋体" w:eastAsia="宋体"/>
          <w:b/>
          <w:bCs/>
          <w:color w:val="000000" w:themeColor="text1"/>
          <w:kern w:val="0"/>
          <w:u w:val="single"/>
          <w14:textFill>
            <w14:solidFill>
              <w14:schemeClr w14:val="tx1"/>
            </w14:solidFill>
          </w14:textFill>
        </w:rPr>
        <w:t xml:space="preserve">      </w:t>
      </w:r>
      <w:r>
        <w:rPr>
          <w:rFonts w:hint="eastAsia" w:ascii="宋体" w:hAnsi="宋体" w:eastAsia="宋体"/>
          <w:bCs/>
          <w:color w:val="000000" w:themeColor="text1"/>
          <w:kern w:val="0"/>
          <w:u w:val="single"/>
          <w14:textFill>
            <w14:solidFill>
              <w14:schemeClr w14:val="tx1"/>
            </w14:solidFill>
          </w14:textFill>
        </w:rPr>
        <w:t xml:space="preserve"> </w:t>
      </w:r>
    </w:p>
    <w:p>
      <w:pPr>
        <w:widowControl/>
        <w:spacing w:line="800" w:lineRule="exact"/>
        <w:ind w:firstLine="1275" w:firstLineChars="397"/>
        <w:jc w:val="left"/>
        <w:rPr>
          <w:rFonts w:ascii="宋体" w:hAnsi="宋体" w:eastAsia="宋体"/>
          <w:b/>
          <w:color w:val="000000" w:themeColor="text1"/>
          <w:kern w:val="0"/>
          <w:u w:val="single"/>
          <w14:textFill>
            <w14:solidFill>
              <w14:schemeClr w14:val="tx1"/>
            </w14:solidFill>
          </w14:textFill>
        </w:rPr>
      </w:pPr>
      <w:r>
        <w:rPr>
          <w:rFonts w:hint="eastAsia" w:ascii="宋体" w:hAnsi="宋体" w:eastAsia="宋体"/>
          <w:b/>
          <w:color w:val="000000" w:themeColor="text1"/>
          <w:kern w:val="0"/>
          <w14:textFill>
            <w14:solidFill>
              <w14:schemeClr w14:val="tx1"/>
            </w14:solidFill>
          </w14:textFill>
        </w:rPr>
        <w:t>制定时间：</w:t>
      </w:r>
      <w:r>
        <w:rPr>
          <w:rFonts w:hint="eastAsia" w:ascii="宋体" w:hAnsi="宋体" w:eastAsia="宋体"/>
          <w:b/>
          <w:color w:val="000000" w:themeColor="text1"/>
          <w:kern w:val="0"/>
          <w:u w:val="single"/>
          <w14:textFill>
            <w14:solidFill>
              <w14:schemeClr w14:val="tx1"/>
            </w14:solidFill>
          </w14:textFill>
        </w:rPr>
        <w:t xml:space="preserve"> </w:t>
      </w:r>
      <w:r>
        <w:rPr>
          <w:rFonts w:hint="eastAsia" w:ascii="宋体" w:hAnsi="宋体" w:eastAsia="宋体"/>
          <w:b/>
          <w:bCs/>
          <w:color w:val="000000" w:themeColor="text1"/>
          <w:kern w:val="0"/>
          <w:u w:val="single"/>
          <w14:textFill>
            <w14:solidFill>
              <w14:schemeClr w14:val="tx1"/>
            </w14:solidFill>
          </w14:textFill>
        </w:rPr>
        <w:t xml:space="preserve">      20</w:t>
      </w:r>
      <w:r>
        <w:rPr>
          <w:rFonts w:hint="eastAsia" w:ascii="宋体" w:hAnsi="宋体" w:eastAsia="宋体"/>
          <w:b/>
          <w:bCs/>
          <w:color w:val="000000" w:themeColor="text1"/>
          <w:kern w:val="0"/>
          <w:u w:val="single"/>
          <w:lang w:val="en-US" w:eastAsia="zh-CN"/>
          <w14:textFill>
            <w14:solidFill>
              <w14:schemeClr w14:val="tx1"/>
            </w14:solidFill>
          </w14:textFill>
        </w:rPr>
        <w:t>20</w:t>
      </w:r>
      <w:r>
        <w:rPr>
          <w:rFonts w:hint="eastAsia" w:ascii="宋体" w:hAnsi="宋体" w:eastAsia="宋体"/>
          <w:b/>
          <w:bCs/>
          <w:color w:val="000000" w:themeColor="text1"/>
          <w:kern w:val="0"/>
          <w:u w:val="single"/>
          <w14:textFill>
            <w14:solidFill>
              <w14:schemeClr w14:val="tx1"/>
            </w14:solidFill>
          </w14:textFill>
        </w:rPr>
        <w:t>年</w:t>
      </w:r>
      <w:r>
        <w:rPr>
          <w:rFonts w:hint="eastAsia" w:ascii="宋体" w:hAnsi="宋体" w:eastAsia="宋体"/>
          <w:b/>
          <w:bCs/>
          <w:color w:val="000000" w:themeColor="text1"/>
          <w:kern w:val="0"/>
          <w:u w:val="single"/>
          <w:lang w:val="en-US" w:eastAsia="zh-CN"/>
          <w14:textFill>
            <w14:solidFill>
              <w14:schemeClr w14:val="tx1"/>
            </w14:solidFill>
          </w14:textFill>
        </w:rPr>
        <w:t>5</w:t>
      </w:r>
      <w:r>
        <w:rPr>
          <w:rFonts w:hint="eastAsia" w:ascii="宋体" w:hAnsi="宋体" w:eastAsia="宋体"/>
          <w:b/>
          <w:bCs/>
          <w:color w:val="000000" w:themeColor="text1"/>
          <w:kern w:val="0"/>
          <w:u w:val="single"/>
          <w14:textFill>
            <w14:solidFill>
              <w14:schemeClr w14:val="tx1"/>
            </w14:solidFill>
          </w14:textFill>
        </w:rPr>
        <w:t xml:space="preserve">月   </w:t>
      </w:r>
      <w:r>
        <w:rPr>
          <w:rFonts w:hint="eastAsia" w:ascii="宋体" w:hAnsi="宋体" w:eastAsia="宋体"/>
          <w:b/>
          <w:bCs/>
          <w:color w:val="000000" w:themeColor="text1"/>
          <w:kern w:val="0"/>
          <w:u w:val="single"/>
          <w:lang w:val="en-US" w:eastAsia="zh-CN"/>
          <w14:textFill>
            <w14:solidFill>
              <w14:schemeClr w14:val="tx1"/>
            </w14:solidFill>
          </w14:textFill>
        </w:rPr>
        <w:t xml:space="preserve"> </w:t>
      </w:r>
      <w:r>
        <w:rPr>
          <w:rFonts w:hint="eastAsia" w:ascii="宋体" w:hAnsi="宋体" w:eastAsia="宋体"/>
          <w:b/>
          <w:bCs/>
          <w:color w:val="000000" w:themeColor="text1"/>
          <w:kern w:val="0"/>
          <w:u w:val="single"/>
          <w14:textFill>
            <w14:solidFill>
              <w14:schemeClr w14:val="tx1"/>
            </w14:solidFill>
          </w14:textFill>
        </w:rPr>
        <w:t xml:space="preserve">  </w:t>
      </w:r>
      <w:r>
        <w:rPr>
          <w:rFonts w:hint="eastAsia" w:ascii="宋体" w:hAnsi="宋体" w:eastAsia="宋体"/>
          <w:b/>
          <w:color w:val="000000" w:themeColor="text1"/>
          <w:kern w:val="0"/>
          <w:u w:val="single"/>
          <w14:textFill>
            <w14:solidFill>
              <w14:schemeClr w14:val="tx1"/>
            </w14:solidFill>
          </w14:textFill>
        </w:rPr>
        <w:t xml:space="preserve"> </w:t>
      </w:r>
    </w:p>
    <w:p>
      <w:pPr>
        <w:widowControl/>
        <w:jc w:val="left"/>
        <w:rPr>
          <w:color w:val="000000" w:themeColor="text1"/>
          <w14:textFill>
            <w14:solidFill>
              <w14:schemeClr w14:val="tx1"/>
            </w14:solidFill>
          </w14:textFill>
        </w:rPr>
      </w:pPr>
      <w:r>
        <w:rPr>
          <w:color w:val="000000" w:themeColor="text1"/>
          <w14:textFill>
            <w14:solidFill>
              <w14:schemeClr w14:val="tx1"/>
            </w14:solidFill>
          </w14:textFill>
        </w:rPr>
        <w:br w:type="page"/>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黑体" w:eastAsia="黑体"/>
          <w:color w:val="000000" w:themeColor="text1"/>
          <w:sz w:val="36"/>
          <w:szCs w:val="36"/>
          <w14:textFill>
            <w14:solidFill>
              <w14:schemeClr w14:val="tx1"/>
            </w14:solidFill>
          </w14:textFill>
        </w:rPr>
      </w:pPr>
      <w:r>
        <w:rPr>
          <w:rFonts w:hint="eastAsia" w:ascii="黑体" w:eastAsia="黑体"/>
          <w:color w:val="000000" w:themeColor="text1"/>
          <w:sz w:val="36"/>
          <w:szCs w:val="36"/>
          <w14:textFill>
            <w14:solidFill>
              <w14:schemeClr w14:val="tx1"/>
            </w14:solidFill>
          </w14:textFill>
        </w:rPr>
        <w:t>安徽财贸职业学院</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黑体" w:eastAsia="黑体"/>
          <w:color w:val="000000" w:themeColor="text1"/>
          <w:sz w:val="36"/>
          <w:szCs w:val="36"/>
          <w14:textFill>
            <w14:solidFill>
              <w14:schemeClr w14:val="tx1"/>
            </w14:solidFill>
          </w14:textFill>
        </w:rPr>
      </w:pPr>
      <w:r>
        <w:rPr>
          <w:rFonts w:hint="eastAsia" w:ascii="黑体" w:eastAsia="黑体"/>
          <w:color w:val="000000" w:themeColor="text1"/>
          <w:sz w:val="36"/>
          <w:szCs w:val="36"/>
          <w14:textFill>
            <w14:solidFill>
              <w14:schemeClr w14:val="tx1"/>
            </w14:solidFill>
          </w14:textFill>
        </w:rPr>
        <w:t>2020级三年制（高职）物流管理专业人才培养方案</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default" w:asciiTheme="majorEastAsia" w:hAnsiTheme="majorEastAsia" w:eastAsiaTheme="majorEastAsia" w:cstheme="majorEastAsia"/>
          <w:b/>
          <w:bCs/>
          <w:color w:val="000000" w:themeColor="text1"/>
          <w:sz w:val="28"/>
          <w:szCs w:val="28"/>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t>一、</w:t>
      </w:r>
      <w:r>
        <w:rPr>
          <w:rFonts w:hint="eastAsia" w:asciiTheme="majorEastAsia" w:hAnsiTheme="majorEastAsia" w:eastAsiaTheme="majorEastAsia" w:cstheme="majorEastAsia"/>
          <w:b/>
          <w:bCs/>
          <w:color w:val="000000" w:themeColor="text1"/>
          <w:sz w:val="28"/>
          <w:szCs w:val="28"/>
          <w14:textFill>
            <w14:solidFill>
              <w14:schemeClr w14:val="tx1"/>
            </w14:solidFill>
          </w14:textFill>
        </w:rPr>
        <w:t>专业名称</w:t>
      </w:r>
      <w:r>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t>及代码</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物流管理</w:t>
      </w:r>
      <w:r>
        <w:rPr>
          <w:rFonts w:hint="eastAsia" w:asciiTheme="minorEastAsia" w:hAnsiTheme="minorEastAsia" w:eastAsiaTheme="minorEastAsia" w:cstheme="minorEastAsia"/>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14:textFill>
            <w14:solidFill>
              <w14:schemeClr w14:val="tx1"/>
            </w14:solidFill>
          </w14:textFill>
        </w:rPr>
        <w:t>630903</w:t>
      </w:r>
      <w:r>
        <w:rPr>
          <w:rFonts w:hint="eastAsia" w:asciiTheme="minorEastAsia" w:hAnsiTheme="minorEastAsia" w:eastAsiaTheme="minorEastAsia" w:cstheme="minorEastAsia"/>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t>二、教育类型及学历层次</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全日制，专科。</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t>三、入学条件</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应历届普通高中毕业生（含具有高中阶段学历的农民工、退役士兵、企事业单位在职职工、失业人员等）。</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t>四、学制</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三年。</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t>五、职业面向</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表1：本专业职业面向</w:t>
      </w: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134"/>
        <w:gridCol w:w="1276"/>
        <w:gridCol w:w="1276"/>
        <w:gridCol w:w="1701"/>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14:textFill>
                  <w14:solidFill>
                    <w14:schemeClr w14:val="tx1"/>
                  </w14:solidFill>
                </w14:textFill>
              </w:rPr>
              <w:t>所属专业大类</w:t>
            </w:r>
          </w:p>
        </w:tc>
        <w:tc>
          <w:tcPr>
            <w:tcW w:w="1134"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14:textFill>
                  <w14:solidFill>
                    <w14:schemeClr w14:val="tx1"/>
                  </w14:solidFill>
                </w14:textFill>
              </w:rPr>
              <w:t>所属</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14:textFill>
                  <w14:solidFill>
                    <w14:schemeClr w14:val="tx1"/>
                  </w14:solidFill>
                </w14:textFill>
              </w:rPr>
              <w:t>专业类</w:t>
            </w:r>
          </w:p>
        </w:tc>
        <w:tc>
          <w:tcPr>
            <w:tcW w:w="1276"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14:textFill>
                  <w14:solidFill>
                    <w14:schemeClr w14:val="tx1"/>
                  </w14:solidFill>
                </w14:textFill>
              </w:rPr>
              <w:t>对应行业</w:t>
            </w:r>
          </w:p>
        </w:tc>
        <w:tc>
          <w:tcPr>
            <w:tcW w:w="1276"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14:textFill>
                  <w14:solidFill>
                    <w14:schemeClr w14:val="tx1"/>
                  </w14:solidFill>
                </w14:textFill>
              </w:rPr>
              <w:t>主要职业类别</w:t>
            </w:r>
          </w:p>
        </w:tc>
        <w:tc>
          <w:tcPr>
            <w:tcW w:w="1701"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14:textFill>
                  <w14:solidFill>
                    <w14:schemeClr w14:val="tx1"/>
                  </w14:solidFill>
                </w14:textFill>
              </w:rPr>
              <w:t>主要岗位类别（或技术领域）举例</w:t>
            </w:r>
          </w:p>
        </w:tc>
        <w:tc>
          <w:tcPr>
            <w:tcW w:w="1843"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14:textFill>
                  <w14:solidFill>
                    <w14:schemeClr w14:val="tx1"/>
                  </w14:solidFill>
                </w14:textFill>
              </w:rPr>
              <w:t>职业资格（职业技能等级）证书举例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6" w:hRule="atLeast"/>
        </w:trPr>
        <w:tc>
          <w:tcPr>
            <w:tcW w:w="113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财经商贸大类</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（63）</w:t>
            </w:r>
          </w:p>
        </w:tc>
        <w:tc>
          <w:tcPr>
            <w:tcW w:w="113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物流类</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（6309）</w:t>
            </w:r>
          </w:p>
        </w:tc>
        <w:tc>
          <w:tcPr>
            <w:tcW w:w="127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F-批发与零售业</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G-交通运输</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G-59-仓储业</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G-6020-快递业</w:t>
            </w:r>
          </w:p>
        </w:tc>
        <w:tc>
          <w:tcPr>
            <w:tcW w:w="1276"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4-01-01采购人员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4-01-05特殊物品购销人员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4-02-02道路运输服务人员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4-02-03水上运输服务人员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4-02-05装卸搬运和运输代理服务人员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4-02-06仓储人员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4-02-07邮政和快递服务人员</w:t>
            </w:r>
          </w:p>
        </w:tc>
        <w:tc>
          <w:tcPr>
            <w:tcW w:w="1701"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4-01-01-00采购员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4-02-02-04道路货运业务员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4-02-02-05道路运输业务员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4-02-03-02船舶业务员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4-02-05-03运输代理服务员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4-02-05-04危险货物运输作业员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4-02-06-01仓储管理员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4-02-06-2理货员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4-02-06-03物流服务师</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4-02-06-04冷藏工</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4-02-07-02邮件分拣员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4-02-07-03邮件转运员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4-02-07-04邮政投递员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4-02-07-08快递员</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4-02-07-09快件处理员</w:t>
            </w:r>
          </w:p>
        </w:tc>
        <w:tc>
          <w:tcPr>
            <w:tcW w:w="1843"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1.物流从业人员职业能力等级认证（助理级）</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Cs/>
                <w:color w:val="000000" w:themeColor="text1"/>
                <w:sz w:val="21"/>
                <w:szCs w:val="21"/>
                <w14:textFill>
                  <w14:solidFill>
                    <w14:schemeClr w14:val="tx1"/>
                  </w14:solidFill>
                </w14:textFill>
              </w:rPr>
              <w:t>2.采购从业人员职业能力等级认证（助理级）</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heme="minorEastAsia" w:hAnsiTheme="minorEastAsia" w:eastAsiaTheme="minorEastAsia" w:cstheme="minorEastAsia"/>
                <w:bCs/>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 w:val="21"/>
                <w:szCs w:val="21"/>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物流管理职业技能等级证书（中级）</w:t>
            </w:r>
          </w:p>
        </w:tc>
      </w:tr>
    </w:tbl>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t>六、培养目标</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本专业培养德、智、体、美全面发展，践行新时代中国特色社会主义核心价值观，具有一定的文化水平、良好的职业道德和人文素养，掌握仓储管理、运输管理、供应链管理等专业知识和技术技能，面向仓储、配送、运输、采购与供应、销售、生产等行业，能够从事仓储管理、物流管理、运输管理、采购管理、供应链管理、物流项目/服务营销等工作的复合型技术技能人才。</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t>七、培养规格</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本专业毕业生应在素质、知识和能力等方面达到以下要求。</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color w:val="000000" w:themeColor="text1"/>
          <w:sz w:val="24"/>
          <w14:textFill>
            <w14:solidFill>
              <w14:schemeClr w14:val="tx1"/>
            </w14:solidFill>
          </w14:textFill>
        </w:rPr>
      </w:pPr>
      <w:r>
        <w:rPr>
          <w:rFonts w:hint="eastAsia" w:asciiTheme="minorEastAsia" w:hAnsiTheme="minorEastAsia" w:eastAsiaTheme="minorEastAsia" w:cstheme="minorEastAsia"/>
          <w:b/>
          <w:bCs/>
          <w:color w:val="000000" w:themeColor="text1"/>
          <w:sz w:val="24"/>
          <w14:textFill>
            <w14:solidFill>
              <w14:schemeClr w14:val="tx1"/>
            </w14:solidFill>
          </w14:textFill>
        </w:rPr>
        <w:t>（一）素质</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1.思想政治素质</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坚定拥护中国共产党领导，树立中国特色社会主义共同理想，热爱祖国，具有中华民族自豪感；能够准确理解和把握习近平新时代中国特色社会主义思想的深刻内涵和实践要求；树立社会主义法制观念和正确的权利义务观念，遵纪守法；具有正确的世界观、人生观、价值观。</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2.文化素质</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能够熟练运用汉语进行口语和书面的表达与交流；具备一定的文学、艺术、历史、自然科学常识等人文素养；养成经验积累和探究学习的习惯，具有终身学习的意识；具有社会责任感和社会参与意识。</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3.职业素质</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具备良好的职业道德，能够热爱本职工作，诚实守信；具有较扎实的专业岗位知识和专业技能，掌握行业的发展方向，具有科学精神和求知欲望；具有工匠精神，能够吃苦耐劳、恪尽职守、精益求精；具有创新创业意识，具备开创性的思想、观念、个性、意志、作风和品质；具有信息素养，能够有效地选择、查找及评估各种信息资源；具有针对工作的主动性、针对发展的自觉性，具备竞争意识及对成就的向往和追求精神；具有质量意识、安全意识、服务意识和环保意识，具有强烈的责任心和公益心。</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4.身心素质</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达到《国家学生体质健康标准》，养成良好的健身与卫生习惯。具有健康的体魄、积极的心态、良好的心理和健全的人格。能够快速适应职场环境，对工作、学习、生活中出现的挫折和压力，进行心理调适和情绪管理。</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color w:val="000000" w:themeColor="text1"/>
          <w:sz w:val="24"/>
          <w14:textFill>
            <w14:solidFill>
              <w14:schemeClr w14:val="tx1"/>
            </w14:solidFill>
          </w14:textFill>
        </w:rPr>
      </w:pPr>
      <w:r>
        <w:rPr>
          <w:rFonts w:hint="eastAsia" w:asciiTheme="minorEastAsia" w:hAnsiTheme="minorEastAsia" w:eastAsiaTheme="minorEastAsia" w:cstheme="minorEastAsia"/>
          <w:b/>
          <w:bCs/>
          <w:color w:val="000000" w:themeColor="text1"/>
          <w:sz w:val="24"/>
          <w14:textFill>
            <w14:solidFill>
              <w14:schemeClr w14:val="tx1"/>
            </w14:solidFill>
          </w14:textFill>
        </w:rPr>
        <w:t>（二）知识</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1.了解与本专业相关的法律法规；</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2.掌握应用</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文</w:t>
      </w:r>
      <w:r>
        <w:rPr>
          <w:rFonts w:hint="eastAsia" w:asciiTheme="minorEastAsia" w:hAnsiTheme="minorEastAsia" w:eastAsiaTheme="minorEastAsia" w:cstheme="minorEastAsia"/>
          <w:color w:val="000000" w:themeColor="text1"/>
          <w:sz w:val="24"/>
          <w14:textFill>
            <w14:solidFill>
              <w14:schemeClr w14:val="tx1"/>
            </w14:solidFill>
          </w14:textFill>
        </w:rPr>
        <w:t>写作、计算机应用等基础知识；</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3.掌握</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管理</w:t>
      </w:r>
      <w:r>
        <w:rPr>
          <w:rFonts w:hint="eastAsia" w:asciiTheme="minorEastAsia" w:hAnsiTheme="minorEastAsia" w:eastAsiaTheme="minorEastAsia" w:cstheme="minorEastAsia"/>
          <w:color w:val="000000" w:themeColor="text1"/>
          <w:sz w:val="24"/>
          <w14:textFill>
            <w14:solidFill>
              <w14:schemeClr w14:val="tx1"/>
            </w14:solidFill>
          </w14:textFill>
        </w:rPr>
        <w:t>学、商品学等专业基础知识；</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4.掌握物流管理的基本知识与方法；</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5.掌握仓储管理、运输管理</w:t>
      </w:r>
      <w:r>
        <w:rPr>
          <w:rFonts w:hint="eastAsia" w:asciiTheme="minorEastAsia" w:hAnsiTheme="minorEastAsia" w:eastAsiaTheme="minorEastAsia" w:cstheme="minorEastAsia"/>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买手实务、快递实务</w:t>
      </w:r>
      <w:r>
        <w:rPr>
          <w:rFonts w:hint="eastAsia" w:asciiTheme="minorEastAsia" w:hAnsiTheme="minorEastAsia" w:eastAsiaTheme="minorEastAsia" w:cstheme="minorEastAsia"/>
          <w:color w:val="000000" w:themeColor="text1"/>
          <w:sz w:val="24"/>
          <w14:textFill>
            <w14:solidFill>
              <w14:schemeClr w14:val="tx1"/>
            </w14:solidFill>
          </w14:textFill>
        </w:rPr>
        <w:t>的基本知识与方法；</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6.掌握物流营销、供应链管理的基本知识与方法；</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7.了解现代物流发展新知识、新技术、新趋势；</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sz w:val="24"/>
          <w14:textFill>
            <w14:solidFill>
              <w14:schemeClr w14:val="tx1"/>
            </w14:solidFill>
          </w14:textFill>
        </w:rPr>
        <w:t>.掌握物流基本理论及新技术、新业态、新模式等基本理论和互联网思维下的物流与供应链管理知识。</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color w:val="000000" w:themeColor="text1"/>
          <w:sz w:val="24"/>
          <w14:textFill>
            <w14:solidFill>
              <w14:schemeClr w14:val="tx1"/>
            </w14:solidFill>
          </w14:textFill>
        </w:rPr>
      </w:pPr>
      <w:r>
        <w:rPr>
          <w:rFonts w:hint="eastAsia" w:asciiTheme="minorEastAsia" w:hAnsiTheme="minorEastAsia" w:eastAsiaTheme="minorEastAsia" w:cstheme="minorEastAsia"/>
          <w:b/>
          <w:bCs/>
          <w:color w:val="000000" w:themeColor="text1"/>
          <w:sz w:val="24"/>
          <w14:textFill>
            <w14:solidFill>
              <w14:schemeClr w14:val="tx1"/>
            </w14:solidFill>
          </w14:textFill>
        </w:rPr>
        <w:t>（三）能力</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1</w:t>
      </w:r>
      <w:r>
        <w:rPr>
          <w:rFonts w:hint="eastAsia" w:asciiTheme="minorEastAsia" w:hAnsiTheme="minorEastAsia" w:eastAsiaTheme="minorEastAsia" w:cstheme="minorEastAsia"/>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14:textFill>
            <w14:solidFill>
              <w14:schemeClr w14:val="tx1"/>
            </w14:solidFill>
          </w14:textFill>
        </w:rPr>
        <w:t>能够熟练使用物流管理类各种工具软件；</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2</w:t>
      </w:r>
      <w:r>
        <w:rPr>
          <w:rFonts w:hint="eastAsia" w:asciiTheme="minorEastAsia" w:hAnsiTheme="minorEastAsia" w:eastAsiaTheme="minorEastAsia" w:cstheme="minorEastAsia"/>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14:textFill>
            <w14:solidFill>
              <w14:schemeClr w14:val="tx1"/>
            </w14:solidFill>
          </w14:textFill>
        </w:rPr>
        <w:t>能够在生产、加工、储藏、运输、销售等领域的物流相关基层岗位的进行作业执行与操作；</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3</w:t>
      </w:r>
      <w:r>
        <w:rPr>
          <w:rFonts w:hint="eastAsia" w:asciiTheme="minorEastAsia" w:hAnsiTheme="minorEastAsia" w:eastAsiaTheme="minorEastAsia" w:cstheme="minorEastAsia"/>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14:textFill>
            <w14:solidFill>
              <w14:schemeClr w14:val="tx1"/>
            </w14:solidFill>
          </w14:textFill>
        </w:rPr>
        <w:t>能够开展各项物流基层作业的运营管理、资源协调、信息管理和质量管理；</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4</w:t>
      </w:r>
      <w:r>
        <w:rPr>
          <w:rFonts w:hint="eastAsia" w:asciiTheme="minorEastAsia" w:hAnsiTheme="minorEastAsia" w:eastAsiaTheme="minorEastAsia" w:cstheme="minorEastAsia"/>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14:textFill>
            <w14:solidFill>
              <w14:schemeClr w14:val="tx1"/>
            </w14:solidFill>
          </w14:textFill>
        </w:rPr>
        <w:t>能够进行物流采购、服务/项目营销、客户管理、供应链管理等活动；</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5</w:t>
      </w:r>
      <w:r>
        <w:rPr>
          <w:rFonts w:hint="eastAsia" w:asciiTheme="minorEastAsia" w:hAnsiTheme="minorEastAsia" w:eastAsiaTheme="minorEastAsia" w:cstheme="minorEastAsia"/>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14:textFill>
            <w14:solidFill>
              <w14:schemeClr w14:val="tx1"/>
            </w14:solidFill>
          </w14:textFill>
        </w:rPr>
        <w:t>能够组织实施信息搜集、数据分析与应用、团队建设与管理；</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6</w:t>
      </w:r>
      <w:r>
        <w:rPr>
          <w:rFonts w:hint="eastAsia" w:asciiTheme="minorEastAsia" w:hAnsiTheme="minorEastAsia" w:eastAsiaTheme="minorEastAsia" w:cstheme="minorEastAsia"/>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14:textFill>
            <w14:solidFill>
              <w14:schemeClr w14:val="tx1"/>
            </w14:solidFill>
          </w14:textFill>
        </w:rPr>
        <w:t>能熟练应用办公软件，进行文档排版、简单地数据分析与方案演示等；</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7</w:t>
      </w:r>
      <w:r>
        <w:rPr>
          <w:rFonts w:hint="eastAsia" w:asciiTheme="minorEastAsia" w:hAnsiTheme="minorEastAsia" w:eastAsiaTheme="minorEastAsia" w:cstheme="minorEastAsia"/>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14:textFill>
            <w14:solidFill>
              <w14:schemeClr w14:val="tx1"/>
            </w14:solidFill>
          </w14:textFill>
        </w:rPr>
        <w:t>能运用语言交流技巧且通俗易懂地开展专业工作；</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8</w:t>
      </w:r>
      <w:r>
        <w:rPr>
          <w:rFonts w:hint="eastAsia" w:asciiTheme="minorEastAsia" w:hAnsiTheme="minorEastAsia" w:eastAsiaTheme="minorEastAsia" w:cstheme="minorEastAsia"/>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14:textFill>
            <w14:solidFill>
              <w14:schemeClr w14:val="tx1"/>
            </w14:solidFill>
          </w14:textFill>
        </w:rPr>
        <w:t>计算机、互联网等信息技术应用</w:t>
      </w:r>
      <w:r>
        <w:rPr>
          <w:rFonts w:hint="eastAsia" w:asciiTheme="minorEastAsia" w:hAnsiTheme="minorEastAsia" w:eastAsiaTheme="minorEastAsia" w:cstheme="minorEastAsia"/>
          <w:color w:val="000000" w:themeColor="text1"/>
          <w:sz w:val="2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14:textFill>
            <w14:solidFill>
              <w14:schemeClr w14:val="tx1"/>
            </w14:solidFill>
          </w14:textFill>
        </w:rPr>
        <w:t>9</w:t>
      </w:r>
      <w:r>
        <w:rPr>
          <w:rFonts w:hint="eastAsia" w:asciiTheme="minorEastAsia" w:hAnsiTheme="minorEastAsia" w:eastAsiaTheme="minorEastAsia" w:cstheme="minorEastAsia"/>
          <w:color w:val="000000" w:themeColor="text1"/>
          <w:sz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14:textFill>
            <w14:solidFill>
              <w14:schemeClr w14:val="tx1"/>
            </w14:solidFill>
          </w14:textFill>
        </w:rPr>
        <w:t>具有探究学习和终身学习的能力。</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t>八、人才培养模式</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四融合、五递进”的人才培养模式。即：将技能与素养、理论与实践、学校与企业、课程学习与职业资格证书这四个方面融合起来，按照专业认知、专业基础学习、专业模块学习、职业定位专项实习、顶岗实习这五个层次逐层递进培养人才，提高学生的综合素质。</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t>九、学生应修学分或应修读的课程</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本专业教学计划进程表中设公共基础课、专业基础课、专业核心课、专业拓展课和综合技能五个模块。</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t>（一）公共基础课模块</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思想道德修养与法律基础、职业生涯规划、形势与政策、毛泽东思想和中国特色社会主义理论体系概论、军事理论、心理健康教育、就业指导、劳动教育、职业基本素养、大学生美育教育、创新创业教育、体育与健康、大学英语、高等数学、计算机应用基础等课程。</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t>（二）专业基础课模块</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管理学基础、应用文写作、商品学基础、财务报表精读与分析、物流管理基础、电子商务概论和物流英语（二选一）、物流客户关系管理和物流细分领域标杆企业调查分析（二选一）等课程。</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t>（三）专业核心课模块</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仓储管理、运输管理、采购与供应链管理、物流营销、物流信息技术、冷链物流运营管理、Excel在物流中的应用和物流园区规划与设计（二选一）等课程。</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t>（四）专业拓展课模块</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default"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买手实务、智慧物流校内实训、物流职业技能等级认证、配送中心运营与管理、一体化物流校外实训、快递实务和物流案例与实践（二选一）、物流绩效管理和第三方物流（二选一），以及第3学期和第4学期分别任选1门选修课。</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t>（五）综合技能模块</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跟岗实习、顶岗实习、毕业实习报告等。</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t>十、核心课程</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表2：本专业核心课程名称及主要教学内容</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2611"/>
        <w:gridCol w:w="5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733"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序号</w:t>
            </w:r>
          </w:p>
        </w:tc>
        <w:tc>
          <w:tcPr>
            <w:tcW w:w="2611"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核心课程</w:t>
            </w:r>
          </w:p>
        </w:tc>
        <w:tc>
          <w:tcPr>
            <w:tcW w:w="5178"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73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1</w:t>
            </w:r>
          </w:p>
        </w:tc>
        <w:tc>
          <w:tcPr>
            <w:tcW w:w="261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《仓储管理》</w:t>
            </w:r>
          </w:p>
        </w:tc>
        <w:tc>
          <w:tcPr>
            <w:tcW w:w="517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仓储</w:t>
            </w:r>
            <w:r>
              <w:rPr>
                <w:rFonts w:hint="eastAsia" w:ascii="宋体" w:hAnsi="宋体" w:eastAsia="宋体" w:cs="宋体"/>
                <w:color w:val="000000" w:themeColor="text1"/>
                <w:sz w:val="21"/>
                <w:szCs w:val="21"/>
                <w:lang w:val="en-US" w:eastAsia="zh-CN"/>
                <w14:textFill>
                  <w14:solidFill>
                    <w14:schemeClr w14:val="tx1"/>
                  </w14:solidFill>
                </w14:textFill>
              </w:rPr>
              <w:t>的</w:t>
            </w:r>
            <w:r>
              <w:rPr>
                <w:rFonts w:hint="eastAsia" w:ascii="宋体" w:hAnsi="宋体" w:eastAsia="宋体" w:cs="宋体"/>
                <w:color w:val="000000" w:themeColor="text1"/>
                <w:sz w:val="21"/>
                <w:szCs w:val="21"/>
                <w:lang w:eastAsia="zh-CN"/>
                <w14:textFill>
                  <w14:solidFill>
                    <w14:schemeClr w14:val="tx1"/>
                  </w14:solidFill>
                </w14:textFill>
              </w:rPr>
              <w:t>概念、</w:t>
            </w:r>
            <w:r>
              <w:rPr>
                <w:rFonts w:hint="eastAsia" w:ascii="宋体" w:hAnsi="宋体" w:eastAsia="宋体" w:cs="宋体"/>
                <w:color w:val="000000" w:themeColor="text1"/>
                <w:sz w:val="21"/>
                <w:szCs w:val="21"/>
                <w:lang w:val="en-US" w:eastAsia="zh-CN"/>
                <w14:textFill>
                  <w14:solidFill>
                    <w14:schemeClr w14:val="tx1"/>
                  </w14:solidFill>
                </w14:textFill>
              </w:rPr>
              <w:t>仓库常见设备、</w:t>
            </w:r>
            <w:r>
              <w:rPr>
                <w:rFonts w:hint="eastAsia" w:ascii="宋体" w:hAnsi="宋体" w:eastAsia="宋体" w:cs="宋体"/>
                <w:color w:val="000000" w:themeColor="text1"/>
                <w:sz w:val="21"/>
                <w:szCs w:val="21"/>
                <w:lang w:eastAsia="zh-CN"/>
                <w14:textFill>
                  <w14:solidFill>
                    <w14:schemeClr w14:val="tx1"/>
                  </w14:solidFill>
                </w14:textFill>
              </w:rPr>
              <w:t>入库作业组织、在库作业组织、出库作业组织、</w:t>
            </w:r>
            <w:r>
              <w:rPr>
                <w:rFonts w:hint="eastAsia" w:ascii="宋体" w:hAnsi="宋体" w:eastAsia="宋体" w:cs="宋体"/>
                <w:color w:val="000000" w:themeColor="text1"/>
                <w:sz w:val="21"/>
                <w:szCs w:val="21"/>
                <w:lang w:val="en-US" w:eastAsia="zh-CN"/>
                <w14:textFill>
                  <w14:solidFill>
                    <w14:schemeClr w14:val="tx1"/>
                  </w14:solidFill>
                </w14:textFill>
              </w:rPr>
              <w:t>仓库的选址与规划</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WMS</w:t>
            </w:r>
            <w:r>
              <w:rPr>
                <w:rFonts w:hint="eastAsia" w:ascii="宋体" w:hAnsi="宋体" w:eastAsia="宋体" w:cs="宋体"/>
                <w:color w:val="000000" w:themeColor="text1"/>
                <w:sz w:val="21"/>
                <w:szCs w:val="21"/>
                <w:lang w:eastAsia="zh-CN"/>
                <w14:textFill>
                  <w14:solidFill>
                    <w14:schemeClr w14:val="tx1"/>
                  </w14:solidFill>
                </w14:textFill>
              </w:rPr>
              <w:t>、仓储成本管理、仓储绩效管理等。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7" w:hRule="atLeast"/>
        </w:trPr>
        <w:tc>
          <w:tcPr>
            <w:tcW w:w="73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2</w:t>
            </w:r>
          </w:p>
        </w:tc>
        <w:tc>
          <w:tcPr>
            <w:tcW w:w="261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《运输管理》</w:t>
            </w:r>
          </w:p>
        </w:tc>
        <w:tc>
          <w:tcPr>
            <w:tcW w:w="517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运输系统的构成要素、各种运输方式的技术经济特征、按合理的运输组织流程，处理货运组织工作、货物配载技术与配送线路优化方法等。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trPr>
        <w:tc>
          <w:tcPr>
            <w:tcW w:w="73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3</w:t>
            </w:r>
          </w:p>
        </w:tc>
        <w:tc>
          <w:tcPr>
            <w:tcW w:w="261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《物流营销》</w:t>
            </w:r>
          </w:p>
        </w:tc>
        <w:tc>
          <w:tcPr>
            <w:tcW w:w="517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物流</w:t>
            </w:r>
            <w:r>
              <w:rPr>
                <w:rFonts w:hint="eastAsia" w:ascii="宋体" w:hAnsi="宋体" w:eastAsia="宋体" w:cs="宋体"/>
                <w:color w:val="000000" w:themeColor="text1"/>
                <w:sz w:val="21"/>
                <w:szCs w:val="21"/>
                <w:lang w:val="en-US" w:eastAsia="zh-CN"/>
                <w14:textFill>
                  <w14:solidFill>
                    <w14:schemeClr w14:val="tx1"/>
                  </w14:solidFill>
                </w14:textFill>
              </w:rPr>
              <w:t>市场</w:t>
            </w:r>
            <w:r>
              <w:rPr>
                <w:rFonts w:hint="eastAsia" w:ascii="宋体" w:hAnsi="宋体" w:eastAsia="宋体" w:cs="宋体"/>
                <w:color w:val="000000" w:themeColor="text1"/>
                <w:sz w:val="21"/>
                <w:szCs w:val="21"/>
                <w:lang w:eastAsia="zh-CN"/>
                <w14:textFill>
                  <w14:solidFill>
                    <w14:schemeClr w14:val="tx1"/>
                  </w14:solidFill>
                </w14:textFill>
              </w:rPr>
              <w:t>营销概述、物流营销市场分析、物流目标客户选择、物流服务项目开发、物流目标客户开发、物流营销策略制定、物流客户服务管理、物流营销</w:t>
            </w:r>
            <w:r>
              <w:rPr>
                <w:rFonts w:hint="eastAsia" w:ascii="宋体" w:hAnsi="宋体" w:eastAsia="宋体" w:cs="宋体"/>
                <w:color w:val="000000" w:themeColor="text1"/>
                <w:sz w:val="21"/>
                <w:szCs w:val="21"/>
                <w:lang w:val="en-US" w:eastAsia="zh-CN"/>
                <w14:textFill>
                  <w14:solidFill>
                    <w14:schemeClr w14:val="tx1"/>
                  </w14:solidFill>
                </w14:textFill>
              </w:rPr>
              <w:t>绩效评估等。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trPr>
        <w:tc>
          <w:tcPr>
            <w:tcW w:w="73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21"/>
                <w:szCs w:val="21"/>
                <w:vertAlign w:val="baseline"/>
                <w:lang w:val="en-US" w:eastAsia="zh-CN" w:bidi="ar-SA"/>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4</w:t>
            </w:r>
          </w:p>
        </w:tc>
        <w:tc>
          <w:tcPr>
            <w:tcW w:w="261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采购与</w:t>
            </w:r>
            <w:r>
              <w:rPr>
                <w:rFonts w:hint="eastAsia" w:ascii="宋体" w:hAnsi="宋体" w:eastAsia="宋体" w:cs="宋体"/>
                <w:color w:val="000000" w:themeColor="text1"/>
                <w:sz w:val="21"/>
                <w:szCs w:val="21"/>
                <w:lang w:eastAsia="zh-CN"/>
                <w14:textFill>
                  <w14:solidFill>
                    <w14:schemeClr w14:val="tx1"/>
                  </w14:solidFill>
                </w14:textFill>
              </w:rPr>
              <w:t>供应链管理</w:t>
            </w:r>
            <w:r>
              <w:rPr>
                <w:rFonts w:hint="eastAsia" w:ascii="宋体" w:hAnsi="宋体" w:eastAsia="宋体" w:cs="宋体"/>
                <w:color w:val="000000" w:themeColor="text1"/>
                <w:sz w:val="21"/>
                <w:szCs w:val="21"/>
                <w14:textFill>
                  <w14:solidFill>
                    <w14:schemeClr w14:val="tx1"/>
                  </w14:solidFill>
                </w14:textFill>
              </w:rPr>
              <w:t>》</w:t>
            </w:r>
          </w:p>
        </w:tc>
        <w:tc>
          <w:tcPr>
            <w:tcW w:w="517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供应链</w:t>
            </w:r>
            <w:r>
              <w:rPr>
                <w:rFonts w:hint="eastAsia" w:ascii="宋体" w:hAnsi="宋体" w:eastAsia="宋体" w:cs="宋体"/>
                <w:color w:val="000000" w:themeColor="text1"/>
                <w:sz w:val="21"/>
                <w:szCs w:val="21"/>
                <w:lang w:val="en-US" w:eastAsia="zh-CN"/>
                <w14:textFill>
                  <w14:solidFill>
                    <w14:schemeClr w14:val="tx1"/>
                  </w14:solidFill>
                </w14:textFill>
              </w:rPr>
              <w:t>采购</w:t>
            </w:r>
            <w:r>
              <w:rPr>
                <w:rFonts w:hint="eastAsia" w:ascii="宋体" w:hAnsi="宋体" w:eastAsia="宋体" w:cs="宋体"/>
                <w:color w:val="000000" w:themeColor="text1"/>
                <w:sz w:val="21"/>
                <w:szCs w:val="21"/>
                <w:lang w:eastAsia="zh-CN"/>
                <w14:textFill>
                  <w14:solidFill>
                    <w14:schemeClr w14:val="tx1"/>
                  </w14:solidFill>
                </w14:textFill>
              </w:rPr>
              <w:t>管理、供应链</w:t>
            </w:r>
            <w:r>
              <w:rPr>
                <w:rFonts w:hint="eastAsia" w:ascii="宋体" w:hAnsi="宋体" w:eastAsia="宋体" w:cs="宋体"/>
                <w:color w:val="000000" w:themeColor="text1"/>
                <w:sz w:val="21"/>
                <w:szCs w:val="21"/>
                <w:lang w:val="en-US" w:eastAsia="zh-CN"/>
                <w14:textFill>
                  <w14:solidFill>
                    <w14:schemeClr w14:val="tx1"/>
                  </w14:solidFill>
                </w14:textFill>
              </w:rPr>
              <w:t>库存</w:t>
            </w:r>
            <w:r>
              <w:rPr>
                <w:rFonts w:hint="eastAsia" w:ascii="宋体" w:hAnsi="宋体" w:eastAsia="宋体" w:cs="宋体"/>
                <w:color w:val="000000" w:themeColor="text1"/>
                <w:sz w:val="21"/>
                <w:szCs w:val="21"/>
                <w:lang w:eastAsia="zh-CN"/>
                <w14:textFill>
                  <w14:solidFill>
                    <w14:schemeClr w14:val="tx1"/>
                  </w14:solidFill>
                </w14:textFill>
              </w:rPr>
              <w:t>管理、供应链</w:t>
            </w:r>
            <w:r>
              <w:rPr>
                <w:rFonts w:hint="eastAsia" w:ascii="宋体" w:hAnsi="宋体" w:eastAsia="宋体" w:cs="宋体"/>
                <w:color w:val="000000" w:themeColor="text1"/>
                <w:sz w:val="21"/>
                <w:szCs w:val="21"/>
                <w:lang w:val="en-US" w:eastAsia="zh-CN"/>
                <w14:textFill>
                  <w14:solidFill>
                    <w14:schemeClr w14:val="tx1"/>
                  </w14:solidFill>
                </w14:textFill>
              </w:rPr>
              <w:t>生产</w:t>
            </w:r>
            <w:r>
              <w:rPr>
                <w:rFonts w:hint="eastAsia" w:ascii="宋体" w:hAnsi="宋体" w:eastAsia="宋体" w:cs="宋体"/>
                <w:color w:val="000000" w:themeColor="text1"/>
                <w:sz w:val="21"/>
                <w:szCs w:val="21"/>
                <w:lang w:eastAsia="zh-CN"/>
                <w14:textFill>
                  <w14:solidFill>
                    <w14:schemeClr w14:val="tx1"/>
                  </w14:solidFill>
                </w14:textFill>
              </w:rPr>
              <w:t>管理、供应链</w:t>
            </w:r>
            <w:r>
              <w:rPr>
                <w:rFonts w:hint="eastAsia" w:ascii="宋体" w:hAnsi="宋体" w:eastAsia="宋体" w:cs="宋体"/>
                <w:color w:val="000000" w:themeColor="text1"/>
                <w:sz w:val="21"/>
                <w:szCs w:val="21"/>
                <w:lang w:val="en-US" w:eastAsia="zh-CN"/>
                <w14:textFill>
                  <w14:solidFill>
                    <w14:schemeClr w14:val="tx1"/>
                  </w14:solidFill>
                </w14:textFill>
              </w:rPr>
              <w:t>关系</w:t>
            </w:r>
            <w:r>
              <w:rPr>
                <w:rFonts w:hint="eastAsia" w:ascii="宋体" w:hAnsi="宋体" w:eastAsia="宋体" w:cs="宋体"/>
                <w:color w:val="000000" w:themeColor="text1"/>
                <w:sz w:val="21"/>
                <w:szCs w:val="21"/>
                <w:lang w:eastAsia="zh-CN"/>
                <w14:textFill>
                  <w14:solidFill>
                    <w14:schemeClr w14:val="tx1"/>
                  </w14:solidFill>
                </w14:textFill>
              </w:rPr>
              <w:t>管理、供应链</w:t>
            </w:r>
            <w:r>
              <w:rPr>
                <w:rFonts w:hint="eastAsia" w:ascii="宋体" w:hAnsi="宋体" w:eastAsia="宋体" w:cs="宋体"/>
                <w:color w:val="000000" w:themeColor="text1"/>
                <w:sz w:val="21"/>
                <w:szCs w:val="21"/>
                <w:lang w:val="en-US" w:eastAsia="zh-CN"/>
                <w14:textFill>
                  <w14:solidFill>
                    <w14:schemeClr w14:val="tx1"/>
                  </w14:solidFill>
                </w14:textFill>
              </w:rPr>
              <w:t>战略</w:t>
            </w:r>
            <w:r>
              <w:rPr>
                <w:rFonts w:hint="eastAsia" w:ascii="宋体" w:hAnsi="宋体" w:eastAsia="宋体" w:cs="宋体"/>
                <w:color w:val="000000" w:themeColor="text1"/>
                <w:sz w:val="21"/>
                <w:szCs w:val="21"/>
                <w:lang w:eastAsia="zh-CN"/>
                <w14:textFill>
                  <w14:solidFill>
                    <w14:schemeClr w14:val="tx1"/>
                  </w14:solidFill>
                </w14:textFill>
              </w:rPr>
              <w:t>管理、</w:t>
            </w:r>
            <w:r>
              <w:rPr>
                <w:rFonts w:hint="eastAsia" w:ascii="宋体" w:hAnsi="宋体" w:eastAsia="宋体" w:cs="宋体"/>
                <w:color w:val="000000" w:themeColor="text1"/>
                <w:sz w:val="21"/>
                <w:szCs w:val="21"/>
                <w:lang w:val="en-US" w:eastAsia="zh-CN"/>
                <w14:textFill>
                  <w14:solidFill>
                    <w14:schemeClr w14:val="tx1"/>
                  </w14:solidFill>
                </w14:textFill>
              </w:rPr>
              <w:t>供应链管理组织结构、供应链物流网络规划、供应链成本与绩效管理等。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7" w:hRule="atLeast"/>
        </w:trPr>
        <w:tc>
          <w:tcPr>
            <w:tcW w:w="73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5</w:t>
            </w:r>
          </w:p>
        </w:tc>
        <w:tc>
          <w:tcPr>
            <w:tcW w:w="261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《冷链物流运营</w:t>
            </w:r>
            <w:r>
              <w:rPr>
                <w:rFonts w:hint="eastAsia" w:ascii="宋体" w:hAnsi="宋体" w:eastAsia="宋体" w:cs="宋体"/>
                <w:color w:val="000000" w:themeColor="text1"/>
                <w:sz w:val="21"/>
                <w:szCs w:val="21"/>
                <w:lang w:val="en-US" w:eastAsia="zh-CN"/>
                <w14:textFill>
                  <w14:solidFill>
                    <w14:schemeClr w14:val="tx1"/>
                  </w14:solidFill>
                </w14:textFill>
              </w:rPr>
              <w:t>管理</w:t>
            </w:r>
            <w:r>
              <w:rPr>
                <w:rFonts w:hint="eastAsia" w:ascii="宋体" w:hAnsi="宋体" w:eastAsia="宋体" w:cs="宋体"/>
                <w:color w:val="000000" w:themeColor="text1"/>
                <w:sz w:val="21"/>
                <w:szCs w:val="21"/>
                <w:lang w:eastAsia="zh-CN"/>
                <w14:textFill>
                  <w14:solidFill>
                    <w14:schemeClr w14:val="tx1"/>
                  </w14:solidFill>
                </w14:textFill>
              </w:rPr>
              <w:t>》</w:t>
            </w:r>
          </w:p>
        </w:tc>
        <w:tc>
          <w:tcPr>
            <w:tcW w:w="517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冷链物流概述；冷库常识；冷库的规划、设计与建设；冷库的运作与管理；冷链运输概述；汽车、铁路、船舶及集装箱冷藏运输；肉类冷链；水产品冷链；果蔬冷链；冷饮、奶业及速冻品冷链；冷链物流企业营运与管理。</w:t>
            </w:r>
          </w:p>
        </w:tc>
      </w:tr>
    </w:tbl>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default" w:asciiTheme="majorEastAsia" w:hAnsiTheme="majorEastAsia" w:eastAsiaTheme="majorEastAsia" w:cstheme="majorEastAsia"/>
          <w:b/>
          <w:bCs/>
          <w:color w:val="000000" w:themeColor="text1"/>
          <w:sz w:val="28"/>
          <w:szCs w:val="28"/>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t>十一、学时安排</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总学时数为2448，每</w:t>
      </w:r>
      <w:r>
        <w:rPr>
          <w:rFonts w:hint="eastAsia" w:asciiTheme="minorEastAsia" w:hAnsiTheme="minorEastAsia" w:eastAsiaTheme="minorEastAsia" w:cstheme="minorEastAsia"/>
          <w:color w:val="000000" w:themeColor="text1"/>
          <w:sz w:val="24"/>
          <w:lang w:val="en-US" w:eastAsia="en-US"/>
          <w14:textFill>
            <w14:solidFill>
              <w14:schemeClr w14:val="tx1"/>
            </w14:solidFill>
          </w14:textFill>
        </w:rPr>
        <w:t>16-18</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学时折算1学分，课时类型如下：</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表3：</w:t>
      </w:r>
      <w:r>
        <w:rPr>
          <w:rFonts w:hint="eastAsia" w:ascii="宋体" w:hAnsi="宋体" w:eastAsia="宋体" w:cs="宋体"/>
          <w:color w:val="000000" w:themeColor="text1"/>
          <w:sz w:val="24"/>
          <w:szCs w:val="24"/>
          <w:lang w:val="en-US" w:eastAsia="zh-CN"/>
          <w14:textFill>
            <w14:solidFill>
              <w14:schemeClr w14:val="tx1"/>
            </w14:solidFill>
          </w14:textFill>
        </w:rPr>
        <w:t>本</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专业各教学环节总课时分配表</w:t>
      </w:r>
    </w:p>
    <w:tbl>
      <w:tblPr>
        <w:tblStyle w:val="6"/>
        <w:tblW w:w="8559" w:type="dxa"/>
        <w:tblInd w:w="-100" w:type="dxa"/>
        <w:tblLayout w:type="autofit"/>
        <w:tblCellMar>
          <w:top w:w="0" w:type="dxa"/>
          <w:left w:w="0" w:type="dxa"/>
          <w:bottom w:w="0" w:type="dxa"/>
          <w:right w:w="0" w:type="dxa"/>
        </w:tblCellMar>
      </w:tblPr>
      <w:tblGrid>
        <w:gridCol w:w="3995"/>
        <w:gridCol w:w="2376"/>
        <w:gridCol w:w="2188"/>
      </w:tblGrid>
      <w:tr>
        <w:tblPrEx>
          <w:tblCellMar>
            <w:top w:w="0" w:type="dxa"/>
            <w:left w:w="0" w:type="dxa"/>
            <w:bottom w:w="0" w:type="dxa"/>
            <w:right w:w="0" w:type="dxa"/>
          </w:tblCellMar>
        </w:tblPrEx>
        <w:trPr>
          <w:trHeight w:val="397" w:hRule="atLeast"/>
        </w:trPr>
        <w:tc>
          <w:tcPr>
            <w:tcW w:w="3995"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0"/>
            <w:tcMar>
              <w:top w:w="10" w:type="dxa"/>
              <w:left w:w="10" w:type="dxa"/>
              <w:right w:w="10"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bCs/>
                <w:color w:val="000000" w:themeColor="text1"/>
                <w:sz w:val="21"/>
                <w:szCs w:val="21"/>
                <w:vertAlign w:val="baseline"/>
                <w:lang w:eastAsia="zh-CN"/>
                <w14:textFill>
                  <w14:solidFill>
                    <w14:schemeClr w14:val="tx1"/>
                  </w14:solidFill>
                </w14:textFill>
              </w:rPr>
            </w:pPr>
            <w:r>
              <w:rPr>
                <w:rFonts w:hint="eastAsia" w:ascii="宋体" w:hAnsi="宋体" w:eastAsia="宋体" w:cs="宋体"/>
                <w:b/>
                <w:bCs/>
                <w:color w:val="000000" w:themeColor="text1"/>
                <w:sz w:val="21"/>
                <w:szCs w:val="21"/>
                <w:vertAlign w:val="baseline"/>
                <w:lang w:val="en-US" w:eastAsia="zh-CN"/>
                <w14:textFill>
                  <w14:solidFill>
                    <w14:schemeClr w14:val="tx1"/>
                  </w14:solidFill>
                </w14:textFill>
              </w:rPr>
              <w:t>项  目</w:t>
            </w:r>
          </w:p>
        </w:tc>
        <w:tc>
          <w:tcPr>
            <w:tcW w:w="2376"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0"/>
            <w:tcMar>
              <w:top w:w="10" w:type="dxa"/>
              <w:left w:w="10" w:type="dxa"/>
              <w:right w:w="10"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bCs/>
                <w:color w:val="000000" w:themeColor="text1"/>
                <w:sz w:val="21"/>
                <w:szCs w:val="21"/>
                <w:vertAlign w:val="baseline"/>
                <w:lang w:eastAsia="zh-CN"/>
                <w14:textFill>
                  <w14:solidFill>
                    <w14:schemeClr w14:val="tx1"/>
                  </w14:solidFill>
                </w14:textFill>
              </w:rPr>
            </w:pPr>
            <w:r>
              <w:rPr>
                <w:rFonts w:hint="eastAsia" w:ascii="宋体" w:hAnsi="宋体" w:eastAsia="宋体" w:cs="宋体"/>
                <w:b/>
                <w:bCs/>
                <w:color w:val="000000" w:themeColor="text1"/>
                <w:sz w:val="21"/>
                <w:szCs w:val="21"/>
                <w:vertAlign w:val="baseline"/>
                <w:lang w:val="en-US" w:eastAsia="zh-CN"/>
                <w14:textFill>
                  <w14:solidFill>
                    <w14:schemeClr w14:val="tx1"/>
                  </w14:solidFill>
                </w14:textFill>
              </w:rPr>
              <w:t>课时数</w:t>
            </w:r>
          </w:p>
        </w:tc>
        <w:tc>
          <w:tcPr>
            <w:tcW w:w="2188"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0"/>
            <w:tcMar>
              <w:top w:w="10" w:type="dxa"/>
              <w:left w:w="10" w:type="dxa"/>
              <w:right w:w="10"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bCs/>
                <w:color w:val="000000" w:themeColor="text1"/>
                <w:sz w:val="21"/>
                <w:szCs w:val="21"/>
                <w:vertAlign w:val="baseline"/>
                <w:lang w:eastAsia="zh-CN"/>
                <w14:textFill>
                  <w14:solidFill>
                    <w14:schemeClr w14:val="tx1"/>
                  </w14:solidFill>
                </w14:textFill>
              </w:rPr>
            </w:pPr>
            <w:r>
              <w:rPr>
                <w:rFonts w:hint="eastAsia" w:ascii="宋体" w:hAnsi="宋体" w:eastAsia="宋体" w:cs="宋体"/>
                <w:b/>
                <w:bCs/>
                <w:color w:val="000000" w:themeColor="text1"/>
                <w:sz w:val="21"/>
                <w:szCs w:val="21"/>
                <w:vertAlign w:val="baseline"/>
                <w:lang w:val="en-US" w:eastAsia="zh-CN"/>
                <w14:textFill>
                  <w14:solidFill>
                    <w14:schemeClr w14:val="tx1"/>
                  </w14:solidFill>
                </w14:textFill>
              </w:rPr>
              <w:t>百分比</w:t>
            </w:r>
          </w:p>
        </w:tc>
      </w:tr>
      <w:tr>
        <w:tblPrEx>
          <w:tblCellMar>
            <w:top w:w="0" w:type="dxa"/>
            <w:left w:w="0" w:type="dxa"/>
            <w:bottom w:w="0" w:type="dxa"/>
            <w:right w:w="0" w:type="dxa"/>
          </w:tblCellMar>
        </w:tblPrEx>
        <w:trPr>
          <w:trHeight w:val="346" w:hRule="atLeast"/>
        </w:trPr>
        <w:tc>
          <w:tcPr>
            <w:tcW w:w="399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公共基础课</w:t>
            </w:r>
          </w:p>
        </w:tc>
        <w:tc>
          <w:tcPr>
            <w:tcW w:w="237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726</w:t>
            </w:r>
          </w:p>
        </w:tc>
        <w:tc>
          <w:tcPr>
            <w:tcW w:w="21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29.66%</w:t>
            </w:r>
          </w:p>
        </w:tc>
      </w:tr>
      <w:tr>
        <w:tblPrEx>
          <w:tblCellMar>
            <w:top w:w="0" w:type="dxa"/>
            <w:left w:w="0" w:type="dxa"/>
            <w:bottom w:w="0" w:type="dxa"/>
            <w:right w:w="0" w:type="dxa"/>
          </w:tblCellMar>
        </w:tblPrEx>
        <w:trPr>
          <w:trHeight w:val="346" w:hRule="atLeast"/>
        </w:trPr>
        <w:tc>
          <w:tcPr>
            <w:tcW w:w="399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专业基础课</w:t>
            </w:r>
          </w:p>
        </w:tc>
        <w:tc>
          <w:tcPr>
            <w:tcW w:w="237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360</w:t>
            </w:r>
          </w:p>
        </w:tc>
        <w:tc>
          <w:tcPr>
            <w:tcW w:w="21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14.71%</w:t>
            </w:r>
          </w:p>
        </w:tc>
      </w:tr>
      <w:tr>
        <w:tblPrEx>
          <w:tblCellMar>
            <w:top w:w="0" w:type="dxa"/>
            <w:left w:w="0" w:type="dxa"/>
            <w:bottom w:w="0" w:type="dxa"/>
            <w:right w:w="0" w:type="dxa"/>
          </w:tblCellMar>
        </w:tblPrEx>
        <w:trPr>
          <w:trHeight w:val="346" w:hRule="atLeast"/>
        </w:trPr>
        <w:tc>
          <w:tcPr>
            <w:tcW w:w="399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专业核心课</w:t>
            </w:r>
          </w:p>
        </w:tc>
        <w:tc>
          <w:tcPr>
            <w:tcW w:w="237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504</w:t>
            </w:r>
          </w:p>
        </w:tc>
        <w:tc>
          <w:tcPr>
            <w:tcW w:w="21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20.59%</w:t>
            </w:r>
          </w:p>
        </w:tc>
      </w:tr>
      <w:tr>
        <w:tblPrEx>
          <w:tblCellMar>
            <w:top w:w="0" w:type="dxa"/>
            <w:left w:w="0" w:type="dxa"/>
            <w:bottom w:w="0" w:type="dxa"/>
            <w:right w:w="0" w:type="dxa"/>
          </w:tblCellMar>
        </w:tblPrEx>
        <w:trPr>
          <w:trHeight w:val="346" w:hRule="atLeast"/>
        </w:trPr>
        <w:tc>
          <w:tcPr>
            <w:tcW w:w="399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专业拓展课</w:t>
            </w:r>
          </w:p>
        </w:tc>
        <w:tc>
          <w:tcPr>
            <w:tcW w:w="237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338</w:t>
            </w:r>
          </w:p>
        </w:tc>
        <w:tc>
          <w:tcPr>
            <w:tcW w:w="21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13.81%</w:t>
            </w:r>
          </w:p>
        </w:tc>
      </w:tr>
      <w:tr>
        <w:tblPrEx>
          <w:tblCellMar>
            <w:top w:w="0" w:type="dxa"/>
            <w:left w:w="0" w:type="dxa"/>
            <w:bottom w:w="0" w:type="dxa"/>
            <w:right w:w="0" w:type="dxa"/>
          </w:tblCellMar>
        </w:tblPrEx>
        <w:trPr>
          <w:trHeight w:val="346" w:hRule="atLeast"/>
        </w:trPr>
        <w:tc>
          <w:tcPr>
            <w:tcW w:w="399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综合技能</w:t>
            </w:r>
          </w:p>
        </w:tc>
        <w:tc>
          <w:tcPr>
            <w:tcW w:w="237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520</w:t>
            </w:r>
          </w:p>
        </w:tc>
        <w:tc>
          <w:tcPr>
            <w:tcW w:w="21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21.24%</w:t>
            </w:r>
          </w:p>
        </w:tc>
      </w:tr>
      <w:tr>
        <w:tblPrEx>
          <w:tblCellMar>
            <w:top w:w="0" w:type="dxa"/>
            <w:left w:w="0" w:type="dxa"/>
            <w:bottom w:w="0" w:type="dxa"/>
            <w:right w:w="0" w:type="dxa"/>
          </w:tblCellMar>
        </w:tblPrEx>
        <w:trPr>
          <w:trHeight w:val="346" w:hRule="atLeast"/>
        </w:trPr>
        <w:tc>
          <w:tcPr>
            <w:tcW w:w="399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合计</w:t>
            </w:r>
          </w:p>
        </w:tc>
        <w:tc>
          <w:tcPr>
            <w:tcW w:w="237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2448</w:t>
            </w:r>
          </w:p>
        </w:tc>
        <w:tc>
          <w:tcPr>
            <w:tcW w:w="21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100.00%</w:t>
            </w:r>
          </w:p>
        </w:tc>
      </w:tr>
      <w:tr>
        <w:tblPrEx>
          <w:tblCellMar>
            <w:top w:w="0" w:type="dxa"/>
            <w:left w:w="0" w:type="dxa"/>
            <w:bottom w:w="0" w:type="dxa"/>
            <w:right w:w="0" w:type="dxa"/>
          </w:tblCellMar>
        </w:tblPrEx>
        <w:trPr>
          <w:trHeight w:val="346" w:hRule="atLeast"/>
        </w:trPr>
        <w:tc>
          <w:tcPr>
            <w:tcW w:w="399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必修课</w:t>
            </w:r>
          </w:p>
        </w:tc>
        <w:tc>
          <w:tcPr>
            <w:tcW w:w="237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2088</w:t>
            </w:r>
          </w:p>
        </w:tc>
        <w:tc>
          <w:tcPr>
            <w:tcW w:w="21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85.29%</w:t>
            </w:r>
          </w:p>
        </w:tc>
      </w:tr>
      <w:tr>
        <w:tblPrEx>
          <w:tblCellMar>
            <w:top w:w="0" w:type="dxa"/>
            <w:left w:w="0" w:type="dxa"/>
            <w:bottom w:w="0" w:type="dxa"/>
            <w:right w:w="0" w:type="dxa"/>
          </w:tblCellMar>
        </w:tblPrEx>
        <w:trPr>
          <w:trHeight w:val="346" w:hRule="atLeast"/>
        </w:trPr>
        <w:tc>
          <w:tcPr>
            <w:tcW w:w="399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限选课</w:t>
            </w:r>
          </w:p>
        </w:tc>
        <w:tc>
          <w:tcPr>
            <w:tcW w:w="237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288</w:t>
            </w:r>
          </w:p>
        </w:tc>
        <w:tc>
          <w:tcPr>
            <w:tcW w:w="21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11.76%</w:t>
            </w:r>
          </w:p>
        </w:tc>
      </w:tr>
      <w:tr>
        <w:tblPrEx>
          <w:tblCellMar>
            <w:top w:w="0" w:type="dxa"/>
            <w:left w:w="0" w:type="dxa"/>
            <w:bottom w:w="0" w:type="dxa"/>
            <w:right w:w="0" w:type="dxa"/>
          </w:tblCellMar>
        </w:tblPrEx>
        <w:trPr>
          <w:trHeight w:val="346" w:hRule="atLeast"/>
        </w:trPr>
        <w:tc>
          <w:tcPr>
            <w:tcW w:w="399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任选课</w:t>
            </w:r>
          </w:p>
        </w:tc>
        <w:tc>
          <w:tcPr>
            <w:tcW w:w="237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72</w:t>
            </w:r>
          </w:p>
        </w:tc>
        <w:tc>
          <w:tcPr>
            <w:tcW w:w="21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2.94%</w:t>
            </w:r>
          </w:p>
        </w:tc>
      </w:tr>
      <w:tr>
        <w:tblPrEx>
          <w:tblCellMar>
            <w:top w:w="0" w:type="dxa"/>
            <w:left w:w="0" w:type="dxa"/>
            <w:bottom w:w="0" w:type="dxa"/>
            <w:right w:w="0" w:type="dxa"/>
          </w:tblCellMar>
        </w:tblPrEx>
        <w:trPr>
          <w:trHeight w:val="357" w:hRule="atLeast"/>
        </w:trPr>
        <w:tc>
          <w:tcPr>
            <w:tcW w:w="399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合计</w:t>
            </w:r>
          </w:p>
        </w:tc>
        <w:tc>
          <w:tcPr>
            <w:tcW w:w="237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2448</w:t>
            </w:r>
          </w:p>
        </w:tc>
        <w:tc>
          <w:tcPr>
            <w:tcW w:w="2188"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100.00%</w:t>
            </w:r>
          </w:p>
        </w:tc>
      </w:tr>
    </w:tbl>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表4：</w:t>
      </w:r>
      <w:r>
        <w:rPr>
          <w:rFonts w:hint="eastAsia" w:ascii="宋体" w:hAnsi="宋体" w:eastAsia="宋体" w:cs="宋体"/>
          <w:color w:val="000000" w:themeColor="text1"/>
          <w:sz w:val="24"/>
          <w:szCs w:val="24"/>
          <w:lang w:val="en-US" w:eastAsia="zh-CN"/>
          <w14:textFill>
            <w14:solidFill>
              <w14:schemeClr w14:val="tx1"/>
            </w14:solidFill>
          </w14:textFill>
        </w:rPr>
        <w:t>本</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专业理论课与实训课课时分配表</w:t>
      </w:r>
    </w:p>
    <w:tbl>
      <w:tblPr>
        <w:tblStyle w:val="6"/>
        <w:tblW w:w="8578" w:type="dxa"/>
        <w:tblInd w:w="-121" w:type="dxa"/>
        <w:shd w:val="clear" w:color="auto" w:fill="auto"/>
        <w:tblLayout w:type="autofit"/>
        <w:tblCellMar>
          <w:top w:w="0" w:type="dxa"/>
          <w:left w:w="0" w:type="dxa"/>
          <w:bottom w:w="0" w:type="dxa"/>
          <w:right w:w="0" w:type="dxa"/>
        </w:tblCellMar>
      </w:tblPr>
      <w:tblGrid>
        <w:gridCol w:w="4011"/>
        <w:gridCol w:w="2389"/>
        <w:gridCol w:w="2178"/>
      </w:tblGrid>
      <w:tr>
        <w:tblPrEx>
          <w:shd w:val="clear" w:color="auto" w:fill="auto"/>
          <w:tblCellMar>
            <w:top w:w="0" w:type="dxa"/>
            <w:left w:w="0" w:type="dxa"/>
            <w:bottom w:w="0" w:type="dxa"/>
            <w:right w:w="0" w:type="dxa"/>
          </w:tblCellMar>
        </w:tblPrEx>
        <w:trPr>
          <w:trHeight w:val="365" w:hRule="atLeast"/>
        </w:trPr>
        <w:tc>
          <w:tcPr>
            <w:tcW w:w="4011"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1"/>
                <w:szCs w:val="21"/>
                <w:u w:val="none"/>
                <w14:textFill>
                  <w14:solidFill>
                    <w14:schemeClr w14:val="tx1"/>
                  </w14:solidFill>
                </w14:textFill>
              </w:rPr>
            </w:pPr>
            <w:r>
              <w:rPr>
                <w:rFonts w:hint="eastAsia" w:ascii="宋体" w:hAnsi="宋体" w:eastAsia="宋体" w:cs="宋体"/>
                <w:b/>
                <w:bCs/>
                <w:i w:val="0"/>
                <w:color w:val="000000" w:themeColor="text1"/>
                <w:kern w:val="0"/>
                <w:sz w:val="21"/>
                <w:szCs w:val="21"/>
                <w:u w:val="none"/>
                <w:lang w:val="en-US" w:eastAsia="zh-CN" w:bidi="ar"/>
                <w14:textFill>
                  <w14:solidFill>
                    <w14:schemeClr w14:val="tx1"/>
                  </w14:solidFill>
                </w14:textFill>
              </w:rPr>
              <w:t>项目</w:t>
            </w:r>
          </w:p>
        </w:tc>
        <w:tc>
          <w:tcPr>
            <w:tcW w:w="2389"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1"/>
                <w:szCs w:val="21"/>
                <w:u w:val="none"/>
                <w14:textFill>
                  <w14:solidFill>
                    <w14:schemeClr w14:val="tx1"/>
                  </w14:solidFill>
                </w14:textFill>
              </w:rPr>
            </w:pPr>
            <w:r>
              <w:rPr>
                <w:rFonts w:hint="eastAsia" w:ascii="宋体" w:hAnsi="宋体" w:eastAsia="宋体" w:cs="宋体"/>
                <w:b/>
                <w:bCs/>
                <w:i w:val="0"/>
                <w:color w:val="000000" w:themeColor="text1"/>
                <w:kern w:val="0"/>
                <w:sz w:val="21"/>
                <w:szCs w:val="21"/>
                <w:u w:val="none"/>
                <w:lang w:val="en-US" w:eastAsia="zh-CN" w:bidi="ar"/>
                <w14:textFill>
                  <w14:solidFill>
                    <w14:schemeClr w14:val="tx1"/>
                  </w14:solidFill>
                </w14:textFill>
              </w:rPr>
              <w:t>总课时数</w:t>
            </w:r>
          </w:p>
        </w:tc>
        <w:tc>
          <w:tcPr>
            <w:tcW w:w="2178"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1"/>
                <w:szCs w:val="21"/>
                <w:u w:val="none"/>
                <w14:textFill>
                  <w14:solidFill>
                    <w14:schemeClr w14:val="tx1"/>
                  </w14:solidFill>
                </w14:textFill>
              </w:rPr>
            </w:pPr>
            <w:r>
              <w:rPr>
                <w:rFonts w:hint="eastAsia" w:ascii="宋体" w:hAnsi="宋体" w:eastAsia="宋体" w:cs="宋体"/>
                <w:b/>
                <w:bCs/>
                <w:i w:val="0"/>
                <w:color w:val="000000" w:themeColor="text1"/>
                <w:kern w:val="0"/>
                <w:sz w:val="21"/>
                <w:szCs w:val="21"/>
                <w:u w:val="none"/>
                <w:lang w:val="en-US" w:eastAsia="zh-CN" w:bidi="ar"/>
                <w14:textFill>
                  <w14:solidFill>
                    <w14:schemeClr w14:val="tx1"/>
                  </w14:solidFill>
                </w14:textFill>
              </w:rPr>
              <w:t>百分比</w:t>
            </w:r>
          </w:p>
        </w:tc>
      </w:tr>
      <w:tr>
        <w:tblPrEx>
          <w:shd w:val="clear" w:color="auto" w:fill="auto"/>
          <w:tblCellMar>
            <w:top w:w="0" w:type="dxa"/>
            <w:left w:w="0" w:type="dxa"/>
            <w:bottom w:w="0" w:type="dxa"/>
            <w:right w:w="0" w:type="dxa"/>
          </w:tblCellMar>
        </w:tblPrEx>
        <w:trPr>
          <w:trHeight w:val="365" w:hRule="atLeast"/>
        </w:trPr>
        <w:tc>
          <w:tcPr>
            <w:tcW w:w="401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理论课时</w:t>
            </w:r>
          </w:p>
        </w:tc>
        <w:tc>
          <w:tcPr>
            <w:tcW w:w="23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1060</w:t>
            </w:r>
          </w:p>
        </w:tc>
        <w:tc>
          <w:tcPr>
            <w:tcW w:w="217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43.30%</w:t>
            </w:r>
          </w:p>
        </w:tc>
      </w:tr>
      <w:tr>
        <w:tblPrEx>
          <w:shd w:val="clear" w:color="auto" w:fill="auto"/>
          <w:tblCellMar>
            <w:top w:w="0" w:type="dxa"/>
            <w:left w:w="0" w:type="dxa"/>
            <w:bottom w:w="0" w:type="dxa"/>
            <w:right w:w="0" w:type="dxa"/>
          </w:tblCellMar>
        </w:tblPrEx>
        <w:trPr>
          <w:trHeight w:val="365" w:hRule="atLeast"/>
        </w:trPr>
        <w:tc>
          <w:tcPr>
            <w:tcW w:w="401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实践课时</w:t>
            </w:r>
          </w:p>
        </w:tc>
        <w:tc>
          <w:tcPr>
            <w:tcW w:w="23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1388</w:t>
            </w:r>
          </w:p>
        </w:tc>
        <w:tc>
          <w:tcPr>
            <w:tcW w:w="217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56.70%</w:t>
            </w:r>
          </w:p>
        </w:tc>
      </w:tr>
      <w:tr>
        <w:tblPrEx>
          <w:shd w:val="clear" w:color="auto" w:fill="auto"/>
          <w:tblCellMar>
            <w:top w:w="0" w:type="dxa"/>
            <w:left w:w="0" w:type="dxa"/>
            <w:bottom w:w="0" w:type="dxa"/>
            <w:right w:w="0" w:type="dxa"/>
          </w:tblCellMar>
        </w:tblPrEx>
        <w:trPr>
          <w:trHeight w:val="376" w:hRule="atLeast"/>
        </w:trPr>
        <w:tc>
          <w:tcPr>
            <w:tcW w:w="4011"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4"/>
                <w:szCs w:val="24"/>
                <w:u w:val="none"/>
                <w14:textFill>
                  <w14:solidFill>
                    <w14:schemeClr w14:val="tx1"/>
                  </w14:solidFill>
                </w14:textFill>
              </w:rPr>
            </w:pPr>
            <w:r>
              <w:rPr>
                <w:rFonts w:hint="eastAsia" w:ascii="宋体" w:hAnsi="宋体" w:eastAsia="宋体" w:cs="宋体"/>
                <w:i w:val="0"/>
                <w:color w:val="000000" w:themeColor="text1"/>
                <w:kern w:val="0"/>
                <w:sz w:val="24"/>
                <w:szCs w:val="24"/>
                <w:u w:val="none"/>
                <w:lang w:val="en-US" w:eastAsia="zh-CN" w:bidi="ar"/>
                <w14:textFill>
                  <w14:solidFill>
                    <w14:schemeClr w14:val="tx1"/>
                  </w14:solidFill>
                </w14:textFill>
              </w:rPr>
              <w:t>合计</w:t>
            </w:r>
          </w:p>
        </w:tc>
        <w:tc>
          <w:tcPr>
            <w:tcW w:w="23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2448</w:t>
            </w:r>
          </w:p>
        </w:tc>
        <w:tc>
          <w:tcPr>
            <w:tcW w:w="217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pPr>
            <w:r>
              <w:rPr>
                <w:rFonts w:hint="eastAsia" w:ascii="Times New Roman" w:hAnsi="Times New Roman" w:eastAsia="宋体" w:cs="Times New Roman"/>
                <w:i w:val="0"/>
                <w:color w:val="000000" w:themeColor="text1"/>
                <w:kern w:val="0"/>
                <w:sz w:val="21"/>
                <w:szCs w:val="21"/>
                <w:u w:val="none"/>
                <w:lang w:val="en-US" w:eastAsia="zh-CN" w:bidi="ar"/>
                <w14:textFill>
                  <w14:solidFill>
                    <w14:schemeClr w14:val="tx1"/>
                  </w14:solidFill>
                </w14:textFill>
              </w:rPr>
              <w:t>100.00%</w:t>
            </w:r>
          </w:p>
        </w:tc>
      </w:tr>
    </w:tbl>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t>十二、教学进程总体安排</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表5：</w:t>
      </w:r>
      <w:r>
        <w:rPr>
          <w:rFonts w:hint="eastAsia" w:ascii="宋体" w:hAnsi="宋体" w:eastAsia="宋体" w:cs="宋体"/>
          <w:color w:val="000000" w:themeColor="text1"/>
          <w:sz w:val="24"/>
          <w:szCs w:val="24"/>
          <w:lang w:val="en-US" w:eastAsia="zh-CN"/>
          <w14:textFill>
            <w14:solidFill>
              <w14:schemeClr w14:val="tx1"/>
            </w14:solidFill>
          </w14:textFill>
        </w:rPr>
        <w:t>本</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专业教学进程表</w:t>
      </w:r>
    </w:p>
    <w:tbl>
      <w:tblPr>
        <w:tblStyle w:val="6"/>
        <w:tblW w:w="860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260"/>
        <w:gridCol w:w="5"/>
        <w:gridCol w:w="265"/>
        <w:gridCol w:w="40"/>
        <w:gridCol w:w="427"/>
        <w:gridCol w:w="1144"/>
        <w:gridCol w:w="389"/>
        <w:gridCol w:w="556"/>
        <w:gridCol w:w="544"/>
        <w:gridCol w:w="522"/>
        <w:gridCol w:w="434"/>
        <w:gridCol w:w="388"/>
        <w:gridCol w:w="367"/>
        <w:gridCol w:w="389"/>
        <w:gridCol w:w="433"/>
        <w:gridCol w:w="367"/>
        <w:gridCol w:w="433"/>
        <w:gridCol w:w="423"/>
        <w:gridCol w:w="12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49" w:hRule="atLeast"/>
        </w:trPr>
        <w:tc>
          <w:tcPr>
            <w:tcW w:w="265" w:type="dxa"/>
            <w:gridSpan w:val="2"/>
            <w:vMerge w:val="restart"/>
            <w:tcBorders>
              <w:tl2br w:val="nil"/>
              <w:tr2bl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spacing w:line="240" w:lineRule="auto"/>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课程   类别</w:t>
            </w:r>
          </w:p>
        </w:tc>
        <w:tc>
          <w:tcPr>
            <w:tcW w:w="265" w:type="dxa"/>
            <w:vMerge w:val="restart"/>
            <w:tcBorders>
              <w:tl2br w:val="nil"/>
              <w:tr2bl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spacing w:line="240" w:lineRule="auto"/>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选修 要求</w:t>
            </w:r>
          </w:p>
        </w:tc>
        <w:tc>
          <w:tcPr>
            <w:tcW w:w="467" w:type="dxa"/>
            <w:gridSpan w:val="2"/>
            <w:vMerge w:val="restart"/>
            <w:tcBorders>
              <w:tl2br w:val="nil"/>
              <w:tr2bl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spacing w:line="240" w:lineRule="auto"/>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序号</w:t>
            </w:r>
          </w:p>
        </w:tc>
        <w:tc>
          <w:tcPr>
            <w:tcW w:w="1144" w:type="dxa"/>
            <w:vMerge w:val="restart"/>
            <w:tcBorders>
              <w:tl2br w:val="nil"/>
              <w:tr2bl w:val="nil"/>
            </w:tcBorders>
            <w:shd w:val="clear" w:color="auto" w:fill="D7D7D7" w:themeFill="background1" w:themeFillShade="D8"/>
            <w:tcMar>
              <w:top w:w="10" w:type="dxa"/>
              <w:left w:w="10" w:type="dxa"/>
              <w:right w:w="10" w:type="dxa"/>
            </w:tcMar>
            <w:vAlign w:val="center"/>
          </w:tcPr>
          <w:p>
            <w:pPr>
              <w:spacing w:line="240" w:lineRule="auto"/>
              <w:jc w:val="center"/>
              <w:rPr>
                <w:rFonts w:hint="eastAsia" w:ascii="宋体" w:hAnsi="宋体" w:eastAsia="宋体" w:cs="宋体"/>
                <w:b/>
                <w:bCs/>
                <w:i w:val="0"/>
                <w:color w:val="000000" w:themeColor="text1"/>
                <w:sz w:val="20"/>
                <w:szCs w:val="20"/>
                <w:u w:val="none"/>
                <w14:textFill>
                  <w14:solidFill>
                    <w14:schemeClr w14:val="tx1"/>
                  </w14:solidFill>
                </w14:textFill>
              </w:rPr>
            </w:pPr>
          </w:p>
        </w:tc>
        <w:tc>
          <w:tcPr>
            <w:tcW w:w="389" w:type="dxa"/>
            <w:vMerge w:val="restart"/>
            <w:tcBorders>
              <w:tl2br w:val="nil"/>
              <w:tr2bl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spacing w:line="240" w:lineRule="auto"/>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学分</w:t>
            </w:r>
          </w:p>
        </w:tc>
        <w:tc>
          <w:tcPr>
            <w:tcW w:w="1622" w:type="dxa"/>
            <w:gridSpan w:val="3"/>
            <w:tcBorders>
              <w:tl2br w:val="nil"/>
              <w:tr2bl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spacing w:line="240" w:lineRule="auto"/>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课   时   数</w:t>
            </w:r>
          </w:p>
        </w:tc>
        <w:tc>
          <w:tcPr>
            <w:tcW w:w="2378" w:type="dxa"/>
            <w:gridSpan w:val="6"/>
            <w:tcBorders>
              <w:tl2br w:val="nil"/>
              <w:tr2bl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spacing w:line="240" w:lineRule="auto"/>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理论实训教学周课时</w:t>
            </w:r>
          </w:p>
        </w:tc>
        <w:tc>
          <w:tcPr>
            <w:tcW w:w="856" w:type="dxa"/>
            <w:gridSpan w:val="2"/>
            <w:tcBorders>
              <w:tl2br w:val="nil"/>
              <w:tr2bl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spacing w:line="240" w:lineRule="auto"/>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考试考核</w:t>
            </w:r>
          </w:p>
        </w:tc>
        <w:tc>
          <w:tcPr>
            <w:tcW w:w="1222" w:type="dxa"/>
            <w:vMerge w:val="restart"/>
            <w:tcBorders>
              <w:tl2br w:val="nil"/>
              <w:tr2bl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spacing w:line="240" w:lineRule="auto"/>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58"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7"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144"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56" w:type="dxa"/>
            <w:vMerge w:val="restart"/>
            <w:tcBorders>
              <w:tl2br w:val="nil"/>
              <w:tr2bl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总  计</w:t>
            </w:r>
          </w:p>
        </w:tc>
        <w:tc>
          <w:tcPr>
            <w:tcW w:w="1066" w:type="dxa"/>
            <w:gridSpan w:val="2"/>
            <w:tcBorders>
              <w:tl2br w:val="nil"/>
              <w:tr2bl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其    中</w:t>
            </w:r>
          </w:p>
        </w:tc>
        <w:tc>
          <w:tcPr>
            <w:tcW w:w="822" w:type="dxa"/>
            <w:gridSpan w:val="2"/>
            <w:tcBorders>
              <w:tl2br w:val="nil"/>
              <w:tr2bl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第一</w:t>
            </w:r>
          </w:p>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学年</w:t>
            </w:r>
          </w:p>
        </w:tc>
        <w:tc>
          <w:tcPr>
            <w:tcW w:w="756" w:type="dxa"/>
            <w:gridSpan w:val="2"/>
            <w:tcBorders>
              <w:tl2br w:val="nil"/>
              <w:tr2bl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第二</w:t>
            </w:r>
          </w:p>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学年</w:t>
            </w:r>
          </w:p>
        </w:tc>
        <w:tc>
          <w:tcPr>
            <w:tcW w:w="800" w:type="dxa"/>
            <w:gridSpan w:val="2"/>
            <w:tcBorders>
              <w:tl2br w:val="nil"/>
              <w:tr2bl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第三</w:t>
            </w:r>
          </w:p>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学年</w:t>
            </w:r>
          </w:p>
        </w:tc>
        <w:tc>
          <w:tcPr>
            <w:tcW w:w="433" w:type="dxa"/>
            <w:vMerge w:val="restart"/>
            <w:tcBorders>
              <w:tl2br w:val="nil"/>
              <w:tr2bl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考  试</w:t>
            </w:r>
          </w:p>
        </w:tc>
        <w:tc>
          <w:tcPr>
            <w:tcW w:w="423" w:type="dxa"/>
            <w:vMerge w:val="restart"/>
            <w:tcBorders>
              <w:tl2br w:val="nil"/>
              <w:tr2bl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考   查</w:t>
            </w: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502"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7"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144"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56"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b/>
                <w:bCs/>
                <w:i w:val="0"/>
                <w:color w:val="000000" w:themeColor="text1"/>
                <w:sz w:val="20"/>
                <w:szCs w:val="20"/>
                <w:u w:val="none"/>
                <w14:textFill>
                  <w14:solidFill>
                    <w14:schemeClr w14:val="tx1"/>
                  </w14:solidFill>
                </w14:textFill>
              </w:rPr>
            </w:pPr>
          </w:p>
        </w:tc>
        <w:tc>
          <w:tcPr>
            <w:tcW w:w="544" w:type="dxa"/>
            <w:vMerge w:val="restart"/>
            <w:tcBorders>
              <w:tl2br w:val="nil"/>
              <w:tr2bl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理论</w:t>
            </w:r>
          </w:p>
        </w:tc>
        <w:tc>
          <w:tcPr>
            <w:tcW w:w="522" w:type="dxa"/>
            <w:vMerge w:val="restart"/>
            <w:tcBorders>
              <w:tl2br w:val="nil"/>
              <w:tr2bl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lang w:val="en-US" w:eastAsia="zh-CN" w:bidi="ar"/>
                <w14:textFill>
                  <w14:solidFill>
                    <w14:schemeClr w14:val="tx1"/>
                  </w14:solidFill>
                </w14:textFill>
              </w:rPr>
              <w:t>实践</w:t>
            </w:r>
          </w:p>
        </w:tc>
        <w:tc>
          <w:tcPr>
            <w:tcW w:w="434" w:type="dxa"/>
            <w:tcBorders>
              <w:tl2br w:val="nil"/>
              <w:tr2bl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lang w:val="en-US" w:eastAsia="zh-CN" w:bidi="ar"/>
                <w14:textFill>
                  <w14:solidFill>
                    <w14:schemeClr w14:val="tx1"/>
                  </w14:solidFill>
                </w14:textFill>
              </w:rPr>
              <w:t>第一学期</w:t>
            </w:r>
          </w:p>
        </w:tc>
        <w:tc>
          <w:tcPr>
            <w:tcW w:w="388" w:type="dxa"/>
            <w:tcBorders>
              <w:tl2br w:val="nil"/>
              <w:tr2bl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lang w:val="en-US" w:eastAsia="zh-CN" w:bidi="ar"/>
                <w14:textFill>
                  <w14:solidFill>
                    <w14:schemeClr w14:val="tx1"/>
                  </w14:solidFill>
                </w14:textFill>
              </w:rPr>
              <w:t>第二学期</w:t>
            </w:r>
          </w:p>
        </w:tc>
        <w:tc>
          <w:tcPr>
            <w:tcW w:w="367" w:type="dxa"/>
            <w:tcBorders>
              <w:tl2br w:val="nil"/>
              <w:tr2bl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lang w:val="en-US" w:eastAsia="zh-CN" w:bidi="ar"/>
                <w14:textFill>
                  <w14:solidFill>
                    <w14:schemeClr w14:val="tx1"/>
                  </w14:solidFill>
                </w14:textFill>
              </w:rPr>
              <w:t>第三学期</w:t>
            </w:r>
          </w:p>
        </w:tc>
        <w:tc>
          <w:tcPr>
            <w:tcW w:w="389" w:type="dxa"/>
            <w:tcBorders>
              <w:tl2br w:val="nil"/>
              <w:tr2bl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lang w:val="en-US" w:eastAsia="zh-CN" w:bidi="ar"/>
                <w14:textFill>
                  <w14:solidFill>
                    <w14:schemeClr w14:val="tx1"/>
                  </w14:solidFill>
                </w14:textFill>
              </w:rPr>
              <w:t>第四学期</w:t>
            </w:r>
          </w:p>
        </w:tc>
        <w:tc>
          <w:tcPr>
            <w:tcW w:w="433" w:type="dxa"/>
            <w:tcBorders>
              <w:tl2br w:val="nil"/>
              <w:tr2bl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lang w:val="en-US" w:eastAsia="zh-CN" w:bidi="ar"/>
                <w14:textFill>
                  <w14:solidFill>
                    <w14:schemeClr w14:val="tx1"/>
                  </w14:solidFill>
                </w14:textFill>
              </w:rPr>
              <w:t>第五学期</w:t>
            </w:r>
          </w:p>
        </w:tc>
        <w:tc>
          <w:tcPr>
            <w:tcW w:w="367" w:type="dxa"/>
            <w:tcBorders>
              <w:tl2br w:val="nil"/>
              <w:tr2bl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lang w:val="en-US" w:eastAsia="zh-CN" w:bidi="ar"/>
                <w14:textFill>
                  <w14:solidFill>
                    <w14:schemeClr w14:val="tx1"/>
                  </w14:solidFill>
                </w14:textFill>
              </w:rPr>
              <w:t>第六学期</w:t>
            </w:r>
          </w:p>
        </w:tc>
        <w:tc>
          <w:tcPr>
            <w:tcW w:w="433"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83"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7"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144"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56"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b/>
                <w:bCs/>
                <w:i w:val="0"/>
                <w:color w:val="000000" w:themeColor="text1"/>
                <w:sz w:val="20"/>
                <w:szCs w:val="20"/>
                <w:u w:val="none"/>
                <w14:textFill>
                  <w14:solidFill>
                    <w14:schemeClr w14:val="tx1"/>
                  </w14:solidFill>
                </w14:textFill>
              </w:rPr>
            </w:pPr>
          </w:p>
        </w:tc>
        <w:tc>
          <w:tcPr>
            <w:tcW w:w="544" w:type="dxa"/>
            <w:vMerge w:val="continue"/>
            <w:tcBorders>
              <w:tl2br w:val="nil"/>
              <w:tr2bl w:val="nil"/>
            </w:tcBorders>
            <w:shd w:val="clear" w:color="auto" w:fill="D7D7D7" w:themeFill="background1" w:themeFillShade="D8"/>
            <w:tcMar>
              <w:top w:w="10" w:type="dxa"/>
              <w:left w:w="10" w:type="dxa"/>
              <w:right w:w="10" w:type="dxa"/>
            </w:tcMar>
            <w:vAlign w:val="center"/>
          </w:tcPr>
          <w:p>
            <w:pPr>
              <w:jc w:val="center"/>
              <w:rPr>
                <w:rFonts w:hint="eastAsia" w:ascii="宋体" w:hAnsi="宋体" w:eastAsia="宋体" w:cs="宋体"/>
                <w:b/>
                <w:bCs/>
                <w:i w:val="0"/>
                <w:color w:val="000000" w:themeColor="text1"/>
                <w:sz w:val="20"/>
                <w:szCs w:val="20"/>
                <w:u w:val="none"/>
                <w14:textFill>
                  <w14:solidFill>
                    <w14:schemeClr w14:val="tx1"/>
                  </w14:solidFill>
                </w14:textFill>
              </w:rPr>
            </w:pPr>
          </w:p>
        </w:tc>
        <w:tc>
          <w:tcPr>
            <w:tcW w:w="522" w:type="dxa"/>
            <w:vMerge w:val="continue"/>
            <w:tcBorders>
              <w:tl2br w:val="nil"/>
              <w:tr2bl w:val="nil"/>
            </w:tcBorders>
            <w:shd w:val="clear" w:color="auto" w:fill="D7D7D7" w:themeFill="background1" w:themeFillShade="D8"/>
            <w:tcMar>
              <w:top w:w="10" w:type="dxa"/>
              <w:left w:w="10" w:type="dxa"/>
              <w:right w:w="10" w:type="dxa"/>
            </w:tcMar>
            <w:vAlign w:val="center"/>
          </w:tcPr>
          <w:p>
            <w:pPr>
              <w:jc w:val="center"/>
              <w:rPr>
                <w:rFonts w:hint="eastAsia" w:ascii="宋体" w:hAnsi="宋体" w:eastAsia="宋体" w:cs="宋体"/>
                <w:b/>
                <w:bCs/>
                <w:i w:val="0"/>
                <w:color w:val="000000" w:themeColor="text1"/>
                <w:sz w:val="20"/>
                <w:szCs w:val="20"/>
                <w:u w:val="none"/>
                <w14:textFill>
                  <w14:solidFill>
                    <w14:schemeClr w14:val="tx1"/>
                  </w14:solidFill>
                </w14:textFill>
              </w:rPr>
            </w:pPr>
          </w:p>
        </w:tc>
        <w:tc>
          <w:tcPr>
            <w:tcW w:w="434" w:type="dxa"/>
            <w:tcBorders>
              <w:tl2br w:val="nil"/>
              <w:tr2bl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lang w:val="en-US" w:eastAsia="zh-CN" w:bidi="ar"/>
                <w14:textFill>
                  <w14:solidFill>
                    <w14:schemeClr w14:val="tx1"/>
                  </w14:solidFill>
                </w14:textFill>
              </w:rPr>
              <w:t>16周</w:t>
            </w:r>
          </w:p>
        </w:tc>
        <w:tc>
          <w:tcPr>
            <w:tcW w:w="388" w:type="dxa"/>
            <w:tcBorders>
              <w:tl2br w:val="nil"/>
              <w:tr2bl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lang w:val="en-US" w:eastAsia="zh-CN" w:bidi="ar"/>
                <w14:textFill>
                  <w14:solidFill>
                    <w14:schemeClr w14:val="tx1"/>
                  </w14:solidFill>
                </w14:textFill>
              </w:rPr>
              <w:t>18周</w:t>
            </w:r>
          </w:p>
        </w:tc>
        <w:tc>
          <w:tcPr>
            <w:tcW w:w="367" w:type="dxa"/>
            <w:tcBorders>
              <w:tl2br w:val="nil"/>
              <w:tr2bl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lang w:val="en-US" w:eastAsia="zh-CN" w:bidi="ar"/>
                <w14:textFill>
                  <w14:solidFill>
                    <w14:schemeClr w14:val="tx1"/>
                  </w14:solidFill>
                </w14:textFill>
              </w:rPr>
              <w:t>18周</w:t>
            </w:r>
          </w:p>
        </w:tc>
        <w:tc>
          <w:tcPr>
            <w:tcW w:w="389" w:type="dxa"/>
            <w:tcBorders>
              <w:tl2br w:val="nil"/>
              <w:tr2bl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lang w:val="en-US" w:eastAsia="zh-CN" w:bidi="ar"/>
                <w14:textFill>
                  <w14:solidFill>
                    <w14:schemeClr w14:val="tx1"/>
                  </w14:solidFill>
                </w14:textFill>
              </w:rPr>
              <w:t>18周</w:t>
            </w:r>
          </w:p>
        </w:tc>
        <w:tc>
          <w:tcPr>
            <w:tcW w:w="433" w:type="dxa"/>
            <w:tcBorders>
              <w:tl2br w:val="nil"/>
              <w:tr2bl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lang w:val="en-US" w:eastAsia="zh-CN" w:bidi="ar"/>
                <w14:textFill>
                  <w14:solidFill>
                    <w14:schemeClr w14:val="tx1"/>
                  </w14:solidFill>
                </w14:textFill>
              </w:rPr>
              <w:t>18周</w:t>
            </w:r>
          </w:p>
        </w:tc>
        <w:tc>
          <w:tcPr>
            <w:tcW w:w="367" w:type="dxa"/>
            <w:tcBorders>
              <w:tl2br w:val="nil"/>
              <w:tr2bl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lang w:val="en-US" w:eastAsia="zh-CN" w:bidi="ar"/>
                <w14:textFill>
                  <w14:solidFill>
                    <w14:schemeClr w14:val="tx1"/>
                  </w14:solidFill>
                </w14:textFill>
              </w:rPr>
              <w:t>18周</w:t>
            </w:r>
          </w:p>
        </w:tc>
        <w:tc>
          <w:tcPr>
            <w:tcW w:w="433"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9" w:hRule="atLeast"/>
        </w:trPr>
        <w:tc>
          <w:tcPr>
            <w:tcW w:w="265" w:type="dxa"/>
            <w:gridSpan w:val="2"/>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公共基础课</w:t>
            </w:r>
          </w:p>
        </w:tc>
        <w:tc>
          <w:tcPr>
            <w:tcW w:w="265"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必修课</w:t>
            </w:r>
          </w:p>
        </w:tc>
        <w:tc>
          <w:tcPr>
            <w:tcW w:w="467"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1-1</w:t>
            </w:r>
          </w:p>
        </w:tc>
        <w:tc>
          <w:tcPr>
            <w:tcW w:w="1144" w:type="dxa"/>
            <w:tcBorders>
              <w:tl2br w:val="nil"/>
              <w:tr2bl w:val="nil"/>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思想道德修养与法律基础</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48</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24</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24</w:t>
            </w:r>
          </w:p>
        </w:tc>
        <w:tc>
          <w:tcPr>
            <w:tcW w:w="43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w:t>
            </w: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7"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1-2</w:t>
            </w:r>
          </w:p>
        </w:tc>
        <w:tc>
          <w:tcPr>
            <w:tcW w:w="1144" w:type="dxa"/>
            <w:tcBorders>
              <w:tl2br w:val="nil"/>
              <w:tr2bl w:val="nil"/>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职业生涯规划</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8</w:t>
            </w:r>
          </w:p>
        </w:tc>
        <w:tc>
          <w:tcPr>
            <w:tcW w:w="43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w:t>
            </w: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7"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1-3</w:t>
            </w:r>
          </w:p>
        </w:tc>
        <w:tc>
          <w:tcPr>
            <w:tcW w:w="1144" w:type="dxa"/>
            <w:tcBorders>
              <w:tl2br w:val="nil"/>
              <w:tr2bl w:val="nil"/>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形势与政策</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40</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20</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20</w:t>
            </w:r>
          </w:p>
        </w:tc>
        <w:tc>
          <w:tcPr>
            <w:tcW w:w="43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w:t>
            </w:r>
          </w:p>
        </w:tc>
        <w:tc>
          <w:tcPr>
            <w:tcW w:w="388" w:type="dxa"/>
            <w:tcBorders>
              <w:tl2br w:val="nil"/>
              <w:tr2bl w:val="nil"/>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w:t>
            </w:r>
          </w:p>
        </w:tc>
        <w:tc>
          <w:tcPr>
            <w:tcW w:w="367" w:type="dxa"/>
            <w:tcBorders>
              <w:tl2br w:val="nil"/>
              <w:tr2bl w:val="nil"/>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w:t>
            </w:r>
          </w:p>
        </w:tc>
        <w:tc>
          <w:tcPr>
            <w:tcW w:w="389" w:type="dxa"/>
            <w:tcBorders>
              <w:tl2br w:val="nil"/>
              <w:tr2bl w:val="nil"/>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w:t>
            </w:r>
          </w:p>
        </w:tc>
        <w:tc>
          <w:tcPr>
            <w:tcW w:w="433" w:type="dxa"/>
            <w:tcBorders>
              <w:tl2br w:val="nil"/>
              <w:tr2bl w:val="nil"/>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noWrap/>
            <w:tcMar>
              <w:top w:w="10" w:type="dxa"/>
              <w:left w:w="10" w:type="dxa"/>
              <w:right w:w="10" w:type="dxa"/>
            </w:tcMar>
            <w:vAlign w:val="center"/>
          </w:tcPr>
          <w:p>
            <w:pP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tcBorders>
              <w:tl2br w:val="nil"/>
              <w:tr2bl w:val="nil"/>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7"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1-4</w:t>
            </w:r>
          </w:p>
        </w:tc>
        <w:tc>
          <w:tcPr>
            <w:tcW w:w="1144" w:type="dxa"/>
            <w:tcBorders>
              <w:tl2br w:val="nil"/>
              <w:tr2bl w:val="nil"/>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10"/>
                <w:szCs w:val="10"/>
                <w:u w:val="none"/>
                <w14:textFill>
                  <w14:solidFill>
                    <w14:schemeClr w14:val="tx1"/>
                  </w14:solidFill>
                </w14:textFill>
              </w:rPr>
            </w:pPr>
            <w:r>
              <w:rPr>
                <w:rFonts w:hint="eastAsia" w:ascii="宋体" w:hAnsi="宋体" w:eastAsia="宋体" w:cs="宋体"/>
                <w:i w:val="0"/>
                <w:color w:val="000000" w:themeColor="text1"/>
                <w:kern w:val="0"/>
                <w:sz w:val="10"/>
                <w:szCs w:val="10"/>
                <w:u w:val="none"/>
                <w:lang w:val="en-US" w:eastAsia="zh-CN" w:bidi="ar"/>
                <w14:textFill>
                  <w14:solidFill>
                    <w14:schemeClr w14:val="tx1"/>
                  </w14:solidFill>
                </w14:textFill>
              </w:rPr>
              <w:t>毛泽东思想和中国特色社会主义理论体系概论</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7"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1-5</w:t>
            </w:r>
          </w:p>
        </w:tc>
        <w:tc>
          <w:tcPr>
            <w:tcW w:w="1144" w:type="dxa"/>
            <w:tcBorders>
              <w:tl2br w:val="nil"/>
              <w:tr2bl w:val="nil"/>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军事理论</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32</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32</w:t>
            </w:r>
          </w:p>
        </w:tc>
        <w:tc>
          <w:tcPr>
            <w:tcW w:w="5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7"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1-6</w:t>
            </w:r>
          </w:p>
        </w:tc>
        <w:tc>
          <w:tcPr>
            <w:tcW w:w="1144" w:type="dxa"/>
            <w:tcBorders>
              <w:tl2br w:val="nil"/>
              <w:tr2bl w:val="nil"/>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心理健康教育</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32</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32</w:t>
            </w:r>
          </w:p>
        </w:tc>
        <w:tc>
          <w:tcPr>
            <w:tcW w:w="5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2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在线课程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7"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1-7</w:t>
            </w:r>
          </w:p>
        </w:tc>
        <w:tc>
          <w:tcPr>
            <w:tcW w:w="1144" w:type="dxa"/>
            <w:tcBorders>
              <w:tl2br w:val="nil"/>
              <w:tr2bl w:val="nil"/>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就业指导</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w:t>
            </w: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637"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7"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1144" w:type="dxa"/>
            <w:tcBorders>
              <w:tl2br w:val="nil"/>
              <w:tr2bl w:val="nil"/>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劳动教育</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16</w:t>
            </w:r>
          </w:p>
        </w:tc>
        <w:tc>
          <w:tcPr>
            <w:tcW w:w="5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388"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36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222" w:type="dxa"/>
            <w:tcBorders>
              <w:tl2br w:val="nil"/>
              <w:tr2bl w:val="nil"/>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讲座、实践教学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7"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1-9</w:t>
            </w:r>
          </w:p>
        </w:tc>
        <w:tc>
          <w:tcPr>
            <w:tcW w:w="1144" w:type="dxa"/>
            <w:tcBorders>
              <w:tl2br w:val="nil"/>
              <w:tr2bl w:val="nil"/>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职业基本素养</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2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在线课程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7"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1-10</w:t>
            </w:r>
          </w:p>
        </w:tc>
        <w:tc>
          <w:tcPr>
            <w:tcW w:w="1144" w:type="dxa"/>
            <w:tcBorders>
              <w:tl2br w:val="nil"/>
              <w:tr2bl w:val="nil"/>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大学生美育教育</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32</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32</w:t>
            </w:r>
          </w:p>
        </w:tc>
        <w:tc>
          <w:tcPr>
            <w:tcW w:w="5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2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在线课程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7"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1-11</w:t>
            </w:r>
          </w:p>
        </w:tc>
        <w:tc>
          <w:tcPr>
            <w:tcW w:w="1144" w:type="dxa"/>
            <w:tcBorders>
              <w:tl2br w:val="nil"/>
              <w:tr2bl w:val="nil"/>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创新创业教育</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2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在线课程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7"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1-12</w:t>
            </w:r>
          </w:p>
        </w:tc>
        <w:tc>
          <w:tcPr>
            <w:tcW w:w="1144" w:type="dxa"/>
            <w:tcBorders>
              <w:tl2br w:val="nil"/>
              <w:tr2bl w:val="nil"/>
            </w:tcBorders>
            <w:shd w:val="clear" w:color="auto" w:fill="auto"/>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体育与健康</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6</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104</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86</w:t>
            </w:r>
          </w:p>
        </w:tc>
        <w:tc>
          <w:tcPr>
            <w:tcW w:w="43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388"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36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7"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1-13</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大学英语</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8</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128</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104</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24</w:t>
            </w:r>
          </w:p>
        </w:tc>
        <w:tc>
          <w:tcPr>
            <w:tcW w:w="43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388"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7"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1-14</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高等数学</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60</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40</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20</w:t>
            </w:r>
          </w:p>
        </w:tc>
        <w:tc>
          <w:tcPr>
            <w:tcW w:w="43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7"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1-15</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计算机应用基础</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56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611" w:type="dxa"/>
            <w:gridSpan w:val="3"/>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合     计</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43</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480</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246</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default" w:ascii="Times New Roman" w:hAnsi="Times New Roman" w:eastAsia="宋体" w:cs="Times New Roman"/>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default" w:ascii="Times New Roman" w:hAnsi="Times New Roman" w:eastAsia="宋体" w:cs="Times New Roman"/>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9" w:hRule="atLeast"/>
        </w:trPr>
        <w:tc>
          <w:tcPr>
            <w:tcW w:w="265" w:type="dxa"/>
            <w:gridSpan w:val="2"/>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专业基础课</w:t>
            </w:r>
          </w:p>
        </w:tc>
        <w:tc>
          <w:tcPr>
            <w:tcW w:w="265"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必修课</w:t>
            </w:r>
          </w:p>
        </w:tc>
        <w:tc>
          <w:tcPr>
            <w:tcW w:w="467"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2-1</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管理学基础</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64</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32</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32</w:t>
            </w:r>
          </w:p>
        </w:tc>
        <w:tc>
          <w:tcPr>
            <w:tcW w:w="43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7"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2-2</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物流管理概论</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64</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32</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32</w:t>
            </w:r>
          </w:p>
        </w:tc>
        <w:tc>
          <w:tcPr>
            <w:tcW w:w="43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7"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2-3</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商品学基础</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32</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16</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16</w:t>
            </w:r>
          </w:p>
        </w:tc>
        <w:tc>
          <w:tcPr>
            <w:tcW w:w="43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7"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2-4</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财务报表精读与分析</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56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32</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24</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1255"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7"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2-5</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应用文写作</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6</w:t>
            </w: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222" w:type="dxa"/>
            <w:tcBorders>
              <w:tl2br w:val="nil"/>
              <w:tr2bl w:val="nil"/>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第五学期物流开课建议为6周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611" w:type="dxa"/>
            <w:gridSpan w:val="3"/>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小    计</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16</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252</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130</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122</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限选课</w:t>
            </w:r>
          </w:p>
        </w:tc>
        <w:tc>
          <w:tcPr>
            <w:tcW w:w="467"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2-6</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电子商务概论</w:t>
            </w:r>
          </w:p>
        </w:tc>
        <w:tc>
          <w:tcPr>
            <w:tcW w:w="389"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56"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544"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22"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34" w:type="dxa"/>
            <w:vMerge w:val="restart"/>
            <w:tcBorders>
              <w:tl2br w:val="nil"/>
              <w:tr2bl w:val="nil"/>
            </w:tcBorders>
            <w:shd w:val="clear" w:color="auto" w:fill="auto"/>
            <w:tcMar>
              <w:top w:w="10" w:type="dxa"/>
              <w:left w:w="10" w:type="dxa"/>
              <w:right w:w="10" w:type="dxa"/>
            </w:tcMar>
            <w:vAlign w:val="center"/>
          </w:tcPr>
          <w:p>
            <w:pPr>
              <w:jc w:val="center"/>
              <w:rPr>
                <w:rFonts w:hint="default" w:ascii="Times New Roman" w:hAnsi="Times New Roman" w:eastAsia="宋体" w:cs="Times New Roman"/>
                <w:i w:val="0"/>
                <w:color w:val="000000" w:themeColor="text1"/>
                <w:sz w:val="20"/>
                <w:szCs w:val="20"/>
                <w:u w:val="none"/>
                <w14:textFill>
                  <w14:solidFill>
                    <w14:schemeClr w14:val="tx1"/>
                  </w14:solidFill>
                </w14:textFill>
              </w:rPr>
            </w:pPr>
          </w:p>
        </w:tc>
        <w:tc>
          <w:tcPr>
            <w:tcW w:w="388" w:type="dxa"/>
            <w:vMerge w:val="restart"/>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vMerge w:val="restart"/>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433" w:type="dxa"/>
            <w:vMerge w:val="restart"/>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vMerge w:val="restart"/>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vMerge w:val="restart"/>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222"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二选一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7"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2-7</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物流英语</w:t>
            </w:r>
          </w:p>
        </w:tc>
        <w:tc>
          <w:tcPr>
            <w:tcW w:w="389"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56"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4"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4" w:type="dxa"/>
            <w:vMerge w:val="continue"/>
            <w:tcBorders>
              <w:tl2br w:val="nil"/>
              <w:tr2bl w:val="nil"/>
            </w:tcBorders>
            <w:shd w:val="clear" w:color="auto" w:fill="auto"/>
            <w:tcMar>
              <w:top w:w="10" w:type="dxa"/>
              <w:left w:w="10" w:type="dxa"/>
              <w:right w:w="10" w:type="dxa"/>
            </w:tcMar>
            <w:vAlign w:val="center"/>
          </w:tcPr>
          <w:p>
            <w:pPr>
              <w:jc w:val="center"/>
              <w:rPr>
                <w:rFonts w:hint="default" w:ascii="Times New Roman" w:hAnsi="Times New Roman" w:eastAsia="宋体" w:cs="Times New Roman"/>
                <w:i w:val="0"/>
                <w:color w:val="000000" w:themeColor="text1"/>
                <w:sz w:val="20"/>
                <w:szCs w:val="20"/>
                <w:u w:val="none"/>
                <w14:textFill>
                  <w14:solidFill>
                    <w14:schemeClr w14:val="tx1"/>
                  </w14:solidFill>
                </w14:textFill>
              </w:rPr>
            </w:pPr>
          </w:p>
        </w:tc>
        <w:tc>
          <w:tcPr>
            <w:tcW w:w="388"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7"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2-8</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物流客户关系管理</w:t>
            </w:r>
          </w:p>
        </w:tc>
        <w:tc>
          <w:tcPr>
            <w:tcW w:w="389"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vMerge w:val="restart"/>
            <w:tcBorders>
              <w:tl2br w:val="nil"/>
              <w:tr2bl w:val="nil"/>
            </w:tcBorders>
            <w:shd w:val="clear" w:color="auto" w:fill="auto"/>
            <w:tcMar>
              <w:top w:w="10" w:type="dxa"/>
              <w:left w:w="10" w:type="dxa"/>
              <w:right w:w="10" w:type="dxa"/>
            </w:tcMar>
            <w:vAlign w:val="center"/>
          </w:tcPr>
          <w:p>
            <w:pPr>
              <w:jc w:val="center"/>
              <w:rPr>
                <w:rFonts w:hint="default" w:ascii="Times New Roman" w:hAnsi="Times New Roman" w:eastAsia="宋体" w:cs="Times New Roman"/>
                <w:i w:val="0"/>
                <w:color w:val="000000" w:themeColor="text1"/>
                <w:sz w:val="20"/>
                <w:szCs w:val="20"/>
                <w:u w:val="none"/>
                <w14:textFill>
                  <w14:solidFill>
                    <w14:schemeClr w14:val="tx1"/>
                  </w14:solidFill>
                </w14:textFill>
              </w:rPr>
            </w:pPr>
          </w:p>
        </w:tc>
        <w:tc>
          <w:tcPr>
            <w:tcW w:w="388" w:type="dxa"/>
            <w:vMerge w:val="restart"/>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vMerge w:val="restart"/>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vMerge w:val="restart"/>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6</w:t>
            </w:r>
          </w:p>
        </w:tc>
        <w:tc>
          <w:tcPr>
            <w:tcW w:w="367" w:type="dxa"/>
            <w:vMerge w:val="restart"/>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vMerge w:val="restart"/>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222" w:type="dxa"/>
            <w:vMerge w:val="restart"/>
            <w:tcBorders>
              <w:tl2br w:val="nil"/>
              <w:tr2bl w:val="nil"/>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二选一（第五学期物流开课建议为6周）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926"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7"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2-9</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16"/>
                <w:szCs w:val="16"/>
                <w:u w:val="none"/>
                <w14:textFill>
                  <w14:solidFill>
                    <w14:schemeClr w14:val="tx1"/>
                  </w14:solidFill>
                </w14:textFill>
              </w:rPr>
            </w:pPr>
            <w:r>
              <w:rPr>
                <w:rFonts w:hint="eastAsia" w:ascii="宋体" w:hAnsi="宋体" w:eastAsia="宋体" w:cs="宋体"/>
                <w:i w:val="0"/>
                <w:color w:val="000000" w:themeColor="text1"/>
                <w:kern w:val="0"/>
                <w:sz w:val="16"/>
                <w:szCs w:val="16"/>
                <w:u w:val="none"/>
                <w:lang w:val="en-US" w:eastAsia="zh-CN" w:bidi="ar"/>
                <w14:textFill>
                  <w14:solidFill>
                    <w14:schemeClr w14:val="tx1"/>
                  </w14:solidFill>
                </w14:textFill>
              </w:rPr>
              <w:t>物流细分领域标杆企业调查分析</w:t>
            </w:r>
          </w:p>
        </w:tc>
        <w:tc>
          <w:tcPr>
            <w:tcW w:w="389"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56"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4"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4" w:type="dxa"/>
            <w:vMerge w:val="continue"/>
            <w:tcBorders>
              <w:tl2br w:val="nil"/>
              <w:tr2bl w:val="nil"/>
            </w:tcBorders>
            <w:shd w:val="clear" w:color="auto" w:fill="auto"/>
            <w:tcMar>
              <w:top w:w="10" w:type="dxa"/>
              <w:left w:w="10" w:type="dxa"/>
              <w:right w:w="10" w:type="dxa"/>
            </w:tcMar>
            <w:vAlign w:val="center"/>
          </w:tcPr>
          <w:p>
            <w:pPr>
              <w:jc w:val="center"/>
              <w:rPr>
                <w:rFonts w:hint="default" w:ascii="Times New Roman" w:hAnsi="Times New Roman" w:eastAsia="宋体" w:cs="Times New Roman"/>
                <w:i w:val="0"/>
                <w:color w:val="000000" w:themeColor="text1"/>
                <w:sz w:val="20"/>
                <w:szCs w:val="20"/>
                <w:u w:val="none"/>
                <w14:textFill>
                  <w14:solidFill>
                    <w14:schemeClr w14:val="tx1"/>
                  </w14:solidFill>
                </w14:textFill>
              </w:rPr>
            </w:pPr>
          </w:p>
        </w:tc>
        <w:tc>
          <w:tcPr>
            <w:tcW w:w="388"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611" w:type="dxa"/>
            <w:gridSpan w:val="3"/>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小    计</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6</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108</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54</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54</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5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876" w:type="dxa"/>
            <w:gridSpan w:val="4"/>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合 计</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360</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184</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176</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9" w:hRule="atLeast"/>
        </w:trPr>
        <w:tc>
          <w:tcPr>
            <w:tcW w:w="265" w:type="dxa"/>
            <w:gridSpan w:val="2"/>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专业核心课</w:t>
            </w:r>
          </w:p>
        </w:tc>
        <w:tc>
          <w:tcPr>
            <w:tcW w:w="265"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必修课</w:t>
            </w:r>
          </w:p>
        </w:tc>
        <w:tc>
          <w:tcPr>
            <w:tcW w:w="467"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3-1</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仓储管理</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7"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3-2</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运输管理</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7"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3-3</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采购与供应链管理</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both"/>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7"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3-4</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物流营销</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both"/>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7"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3-5</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物流信息技术</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7"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冷链物流运营管理</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both"/>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222" w:type="dxa"/>
            <w:tcBorders>
              <w:tl2br w:val="nil"/>
              <w:tr2bl w:val="nil"/>
            </w:tcBorders>
            <w:shd w:val="clear" w:color="auto" w:fill="auto"/>
            <w:tcMar>
              <w:top w:w="10" w:type="dxa"/>
              <w:left w:w="10" w:type="dxa"/>
              <w:right w:w="10" w:type="dxa"/>
            </w:tcMar>
            <w:vAlign w:val="center"/>
          </w:tcPr>
          <w:p>
            <w:pPr>
              <w:jc w:val="both"/>
              <w:rPr>
                <w:rFonts w:hint="eastAsia" w:ascii="宋体" w:hAnsi="宋体" w:eastAsia="宋体" w:cs="宋体"/>
                <w:i w:val="0"/>
                <w:color w:val="000000" w:themeColor="text1"/>
                <w:sz w:val="18"/>
                <w:szCs w:val="18"/>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611" w:type="dxa"/>
            <w:gridSpan w:val="3"/>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小    计</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24</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432</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216</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216</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both"/>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both"/>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tcBorders>
              <w:tl2br w:val="nil"/>
              <w:tr2bl w:val="nil"/>
            </w:tcBorders>
            <w:shd w:val="clear" w:color="auto" w:fill="auto"/>
            <w:tcMar>
              <w:top w:w="10" w:type="dxa"/>
              <w:left w:w="10" w:type="dxa"/>
              <w:right w:w="10" w:type="dxa"/>
            </w:tcMar>
            <w:vAlign w:val="center"/>
          </w:tcPr>
          <w:p>
            <w:pPr>
              <w:jc w:val="both"/>
              <w:rPr>
                <w:rFonts w:hint="eastAsia" w:ascii="宋体" w:hAnsi="宋体" w:eastAsia="宋体" w:cs="宋体"/>
                <w:i w:val="0"/>
                <w:color w:val="000000" w:themeColor="text1"/>
                <w:sz w:val="18"/>
                <w:szCs w:val="18"/>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限选课</w:t>
            </w:r>
          </w:p>
        </w:tc>
        <w:tc>
          <w:tcPr>
            <w:tcW w:w="467"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3-7</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Excel在物流中的应用</w:t>
            </w:r>
          </w:p>
        </w:tc>
        <w:tc>
          <w:tcPr>
            <w:tcW w:w="389"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56"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544"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22"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34" w:type="dxa"/>
            <w:vMerge w:val="restart"/>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vMerge w:val="restart"/>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vMerge w:val="restart"/>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433" w:type="dxa"/>
            <w:vMerge w:val="restart"/>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vMerge w:val="restart"/>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vMerge w:val="restart"/>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222"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二选一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7"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3-8</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物流园区规划与设计</w:t>
            </w:r>
          </w:p>
        </w:tc>
        <w:tc>
          <w:tcPr>
            <w:tcW w:w="389"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56"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4"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4"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2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65"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611" w:type="dxa"/>
            <w:gridSpan w:val="3"/>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小    计</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39" w:hRule="atLeast"/>
        </w:trPr>
        <w:tc>
          <w:tcPr>
            <w:tcW w:w="265" w:type="dxa"/>
            <w:gridSpan w:val="2"/>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876" w:type="dxa"/>
            <w:gridSpan w:val="4"/>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合 计</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28</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504</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252</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252</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255" w:hRule="atLeast"/>
        </w:trPr>
        <w:tc>
          <w:tcPr>
            <w:tcW w:w="260"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专业拓展课</w:t>
            </w:r>
          </w:p>
        </w:tc>
        <w:tc>
          <w:tcPr>
            <w:tcW w:w="310" w:type="dxa"/>
            <w:gridSpan w:val="3"/>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必修课</w:t>
            </w: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4-1</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买手实务</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255"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4-2</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智慧物流校内实训</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0</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1周</w:t>
            </w: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255"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4-3</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物流职业技能等级认证</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255"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4-4</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配送中心运营与管理</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255"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4-5</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一体化物流校外实训</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32</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0</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32</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2周</w:t>
            </w:r>
          </w:p>
        </w:tc>
        <w:tc>
          <w:tcPr>
            <w:tcW w:w="367" w:type="dxa"/>
            <w:tcBorders>
              <w:tl2br w:val="nil"/>
              <w:tr2bl w:val="nil"/>
            </w:tcBorders>
            <w:shd w:val="clear" w:color="auto" w:fill="auto"/>
            <w:tcMar>
              <w:top w:w="10" w:type="dxa"/>
              <w:left w:w="10" w:type="dxa"/>
              <w:right w:w="10" w:type="dxa"/>
            </w:tcMar>
            <w:vAlign w:val="center"/>
          </w:tcPr>
          <w:p>
            <w:pPr>
              <w:jc w:val="both"/>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tcBorders>
              <w:tl2br w:val="nil"/>
              <w:tr2bl w:val="nil"/>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第五学期物流开课建议为6周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00"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571"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小    计</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9</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158</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54</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104</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限选课</w:t>
            </w: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4-6</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快递实务</w:t>
            </w:r>
          </w:p>
        </w:tc>
        <w:tc>
          <w:tcPr>
            <w:tcW w:w="389"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56"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544"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22"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34" w:type="dxa"/>
            <w:vMerge w:val="restart"/>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vMerge w:val="restart"/>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vMerge w:val="restart"/>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433" w:type="dxa"/>
            <w:vMerge w:val="restart"/>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vMerge w:val="restart"/>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vMerge w:val="restart"/>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222"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二选一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4-7</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物流案例与实践</w:t>
            </w:r>
          </w:p>
        </w:tc>
        <w:tc>
          <w:tcPr>
            <w:tcW w:w="389"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56"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4"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4"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00"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4-8</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物流绩效管理</w:t>
            </w:r>
          </w:p>
        </w:tc>
        <w:tc>
          <w:tcPr>
            <w:tcW w:w="389"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vMerge w:val="restart"/>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vMerge w:val="restart"/>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vMerge w:val="restart"/>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vMerge w:val="restart"/>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6</w:t>
            </w:r>
          </w:p>
        </w:tc>
        <w:tc>
          <w:tcPr>
            <w:tcW w:w="367" w:type="dxa"/>
            <w:vMerge w:val="restart"/>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vMerge w:val="restart"/>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1222" w:type="dxa"/>
            <w:vMerge w:val="restart"/>
            <w:tcBorders>
              <w:tl2br w:val="nil"/>
              <w:tr2bl w:val="nil"/>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二选一（第五学期物流开课建议为6周）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00"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4-9</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第三方物流</w:t>
            </w:r>
          </w:p>
        </w:tc>
        <w:tc>
          <w:tcPr>
            <w:tcW w:w="389"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56"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4"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4"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260"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571"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小    计</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6</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108</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54</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54</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任选课</w:t>
            </w: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4-10</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办公自动化</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第3、4学期分别任选1门课，每门课2学分，共计计4学分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4-11</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彩妆</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4-12</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成功学</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4-13</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大学生团体心理训练</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4-14</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大学生意外伤害与急救</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4-15</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国学今用</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4-16</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韩语入门</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4-17</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黄梅戏赏析</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4-18</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徽商与徽文化</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4-19</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交谊舞</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4-20</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篮球</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4-21</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乒乓球</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4-22</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商务礼仪</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4-23</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摄影</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4-24</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书法</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4-25</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围棋文化与原理</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4-26</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文秘速录</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4-27</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心理学与生活</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4-28</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新闻写作规范与技巧</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4-29</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信息检索</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4-30</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演讲与口才</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4-31</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艺术欣赏</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4-32</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音乐</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4-33</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英式橄榄球</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4-34</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英语听力与会话</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4-35</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营销与策划</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4-36</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18"/>
                <w:szCs w:val="18"/>
                <w:u w:val="none"/>
                <w14:textFill>
                  <w14:solidFill>
                    <w14:schemeClr w14:val="tx1"/>
                  </w14:solidFill>
                </w14:textFill>
              </w:rPr>
            </w:pP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营养与保健学</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4-37</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18"/>
                <w:szCs w:val="18"/>
                <w:u w:val="none"/>
                <w14:textFill>
                  <w14:solidFill>
                    <w14:schemeClr w14:val="tx1"/>
                  </w14:solidFill>
                </w14:textFill>
              </w:rPr>
            </w:pPr>
            <w: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t>影视文学欣赏</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4-38</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证券与期货</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4-39</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淑女学堂课程（上）</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4-40</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淑女学堂课程（下）</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571"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小</w:t>
            </w:r>
            <w:r>
              <w:rPr>
                <w:rFonts w:hint="default" w:ascii="Times New Roman" w:hAnsi="Times New Roman" w:eastAsia="宋体" w:cs="Times New Roman"/>
                <w:i w:val="0"/>
                <w:color w:val="000000" w:themeColor="text1"/>
                <w:kern w:val="0"/>
                <w:sz w:val="20"/>
                <w:szCs w:val="20"/>
                <w:u w:val="none"/>
                <w:lang w:val="en-US" w:eastAsia="zh-CN" w:bidi="ar"/>
                <w14:textFill>
                  <w14:solidFill>
                    <w14:schemeClr w14:val="tx1"/>
                  </w14:solidFill>
                </w14:textFill>
              </w:rPr>
              <w:t xml:space="preserve">      </w:t>
            </w: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计</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4</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72</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36</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w:t>
            </w: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881" w:type="dxa"/>
            <w:gridSpan w:val="5"/>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合计</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19</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338</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144</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194</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综合技能</w:t>
            </w:r>
          </w:p>
        </w:tc>
        <w:tc>
          <w:tcPr>
            <w:tcW w:w="310" w:type="dxa"/>
            <w:gridSpan w:val="3"/>
            <w:vMerge w:val="restart"/>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必修课</w:t>
            </w: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5-1</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跟岗实习</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10</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160</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0</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160</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8周</w:t>
            </w: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5-2</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顶岗实习</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10</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180</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0</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180</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noWrap/>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18周</w:t>
            </w: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vMerge w:val="continue"/>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5-3</w:t>
            </w:r>
          </w:p>
        </w:tc>
        <w:tc>
          <w:tcPr>
            <w:tcW w:w="11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毕业实习报告</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10</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180</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0</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180</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w:t>
            </w: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260" w:type="dxa"/>
            <w:tcBorders>
              <w:tl2br w:val="nil"/>
              <w:tr2bl w:val="nil"/>
            </w:tcBorders>
            <w:shd w:val="clear" w:color="auto" w:fill="auto"/>
            <w:tcMar>
              <w:top w:w="10" w:type="dxa"/>
              <w:left w:w="10" w:type="dxa"/>
              <w:right w:w="10" w:type="dxa"/>
            </w:tcMar>
            <w:vAlign w:val="center"/>
          </w:tcPr>
          <w:p>
            <w:pPr>
              <w:rPr>
                <w:rFonts w:hint="eastAsia" w:ascii="宋体" w:hAnsi="宋体" w:eastAsia="宋体" w:cs="宋体"/>
                <w:i w:val="0"/>
                <w:color w:val="000000" w:themeColor="text1"/>
                <w:sz w:val="20"/>
                <w:szCs w:val="20"/>
                <w:u w:val="none"/>
                <w14:textFill>
                  <w14:solidFill>
                    <w14:schemeClr w14:val="tx1"/>
                  </w14:solidFill>
                </w14:textFill>
              </w:rPr>
            </w:pPr>
          </w:p>
        </w:tc>
        <w:tc>
          <w:tcPr>
            <w:tcW w:w="310" w:type="dxa"/>
            <w:gridSpan w:val="3"/>
            <w:tcBorders>
              <w:tl2br w:val="nil"/>
              <w:tr2bl w:val="nil"/>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合计</w:t>
            </w:r>
          </w:p>
        </w:tc>
        <w:tc>
          <w:tcPr>
            <w:tcW w:w="1571" w:type="dxa"/>
            <w:gridSpan w:val="2"/>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合     计</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30</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520</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0</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520</w:t>
            </w:r>
          </w:p>
        </w:tc>
        <w:tc>
          <w:tcPr>
            <w:tcW w:w="43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8"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19" w:hRule="atLeast"/>
        </w:trPr>
        <w:tc>
          <w:tcPr>
            <w:tcW w:w="570" w:type="dxa"/>
            <w:gridSpan w:val="4"/>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总计</w:t>
            </w:r>
          </w:p>
        </w:tc>
        <w:tc>
          <w:tcPr>
            <w:tcW w:w="42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144"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142</w:t>
            </w:r>
          </w:p>
        </w:tc>
        <w:tc>
          <w:tcPr>
            <w:tcW w:w="556"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2448</w:t>
            </w:r>
          </w:p>
        </w:tc>
        <w:tc>
          <w:tcPr>
            <w:tcW w:w="54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1060</w:t>
            </w:r>
          </w:p>
        </w:tc>
        <w:tc>
          <w:tcPr>
            <w:tcW w:w="522"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1388</w:t>
            </w:r>
          </w:p>
        </w:tc>
        <w:tc>
          <w:tcPr>
            <w:tcW w:w="434"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27</w:t>
            </w:r>
          </w:p>
        </w:tc>
        <w:tc>
          <w:tcPr>
            <w:tcW w:w="388"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25</w:t>
            </w:r>
          </w:p>
        </w:tc>
        <w:tc>
          <w:tcPr>
            <w:tcW w:w="367"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23</w:t>
            </w:r>
          </w:p>
        </w:tc>
        <w:tc>
          <w:tcPr>
            <w:tcW w:w="389"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22</w:t>
            </w:r>
          </w:p>
        </w:tc>
        <w:tc>
          <w:tcPr>
            <w:tcW w:w="433" w:type="dxa"/>
            <w:tcBorders>
              <w:tl2br w:val="nil"/>
              <w:tr2bl w:val="nil"/>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lang w:val="en-US" w:eastAsia="zh-CN" w:bidi="ar"/>
                <w14:textFill>
                  <w14:solidFill>
                    <w14:schemeClr w14:val="tx1"/>
                  </w14:solidFill>
                </w14:textFill>
              </w:rPr>
              <w:t>18</w:t>
            </w:r>
          </w:p>
        </w:tc>
        <w:tc>
          <w:tcPr>
            <w:tcW w:w="367"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3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23"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222" w:type="dxa"/>
            <w:tcBorders>
              <w:tl2br w:val="nil"/>
              <w:tr2bl w:val="nil"/>
            </w:tcBorders>
            <w:shd w:val="clear" w:color="auto" w:fill="auto"/>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t>十三、实施保障</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t>（一）师资队伍</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我校物流管理专业教学团队现为省级教学团队，目前拥有校内专兼职教师15名，校外企业兼职教师有12人。校内专兼职教师中，有省部级教学名师2人，有3名教授和6名副教授；校内专兼职教师全部具有硕士及以上学历，有博士1人，全部为“双师型”教师。</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t>（二）实践教学条件</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我校物流管理专业现拥有校内1个省级实习实训基地和校外2个省级实践教育基地，且我校为安徽省物流协会副会长单位和安徽省冷链物流协会副会长单位为。这一系列的实践教学条件，能进一步强化实践教学，提升学生的技能操作水平和提高学生的竞争优势。</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表6：本专业校内主要实训场地情况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2277"/>
        <w:gridCol w:w="5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8520" w:type="dxa"/>
            <w:gridSpan w:val="3"/>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bCs/>
                <w:color w:val="000000" w:themeColor="text1"/>
                <w:sz w:val="21"/>
                <w:szCs w:val="21"/>
                <w:vertAlign w:val="baseline"/>
                <w:lang w:val="en-US" w:eastAsia="zh-CN"/>
                <w14:textFill>
                  <w14:solidFill>
                    <w14:schemeClr w14:val="tx1"/>
                  </w14:solidFill>
                </w14:textFill>
              </w:rPr>
              <w:t>校内主要实训基地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738"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bCs/>
                <w:color w:val="000000" w:themeColor="text1"/>
                <w:sz w:val="21"/>
                <w:szCs w:val="21"/>
                <w:vertAlign w:val="baseline"/>
                <w:lang w:val="en-US" w:eastAsia="zh-CN"/>
                <w14:textFill>
                  <w14:solidFill>
                    <w14:schemeClr w14:val="tx1"/>
                  </w14:solidFill>
                </w14:textFill>
              </w:rPr>
              <w:t>序号</w:t>
            </w:r>
          </w:p>
        </w:tc>
        <w:tc>
          <w:tcPr>
            <w:tcW w:w="2277"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bCs/>
                <w:color w:val="000000" w:themeColor="text1"/>
                <w:sz w:val="21"/>
                <w:szCs w:val="21"/>
                <w:vertAlign w:val="baseline"/>
                <w:lang w:val="en-US" w:eastAsia="zh-CN"/>
                <w14:textFill>
                  <w14:solidFill>
                    <w14:schemeClr w14:val="tx1"/>
                  </w14:solidFill>
                </w14:textFill>
              </w:rPr>
              <w:t>主要实训室名称</w:t>
            </w:r>
          </w:p>
        </w:tc>
        <w:tc>
          <w:tcPr>
            <w:tcW w:w="5505"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bCs/>
                <w:color w:val="000000" w:themeColor="text1"/>
                <w:sz w:val="21"/>
                <w:szCs w:val="21"/>
                <w:vertAlign w:val="baseline"/>
                <w:lang w:val="en-US" w:eastAsia="zh-CN"/>
                <w14:textFill>
                  <w14:solidFill>
                    <w14:schemeClr w14:val="tx1"/>
                  </w14:solidFill>
                </w14:textFill>
              </w:rPr>
              <w:t>主要开展的实训项目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73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1</w:t>
            </w:r>
          </w:p>
        </w:tc>
        <w:tc>
          <w:tcPr>
            <w:tcW w:w="227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仓配实训室</w:t>
            </w:r>
          </w:p>
        </w:tc>
        <w:tc>
          <w:tcPr>
            <w:tcW w:w="55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出入库作业，装车和路线优化，一体化物流作业等。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73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21"/>
                <w:szCs w:val="21"/>
                <w:vertAlign w:val="baseline"/>
                <w:lang w:val="en-US" w:eastAsia="zh-CN" w:bidi="ar-SA"/>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2</w:t>
            </w:r>
          </w:p>
        </w:tc>
        <w:tc>
          <w:tcPr>
            <w:tcW w:w="227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物流运输实训室</w:t>
            </w:r>
          </w:p>
        </w:tc>
        <w:tc>
          <w:tcPr>
            <w:tcW w:w="55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运输调度，合理化装车，运输线路设计等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73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21"/>
                <w:szCs w:val="21"/>
                <w:vertAlign w:val="baseline"/>
                <w:lang w:val="en-US" w:eastAsia="zh-CN" w:bidi="ar-SA"/>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3</w:t>
            </w:r>
          </w:p>
        </w:tc>
        <w:tc>
          <w:tcPr>
            <w:tcW w:w="227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物流信息实训室</w:t>
            </w:r>
          </w:p>
        </w:tc>
        <w:tc>
          <w:tcPr>
            <w:tcW w:w="55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WMS、TMS等常见物流软件操作，物流方案设计等。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73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21"/>
                <w:szCs w:val="21"/>
                <w:vertAlign w:val="baseline"/>
                <w:lang w:val="en-US" w:eastAsia="zh-CN" w:bidi="ar-SA"/>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4</w:t>
            </w:r>
          </w:p>
        </w:tc>
        <w:tc>
          <w:tcPr>
            <w:tcW w:w="227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冷链物流实训室</w:t>
            </w:r>
          </w:p>
        </w:tc>
        <w:tc>
          <w:tcPr>
            <w:tcW w:w="55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食品安全检测，冷储，制冷技术等。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73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5</w:t>
            </w:r>
          </w:p>
        </w:tc>
        <w:tc>
          <w:tcPr>
            <w:tcW w:w="227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快递实训室</w:t>
            </w:r>
          </w:p>
        </w:tc>
        <w:tc>
          <w:tcPr>
            <w:tcW w:w="55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收发件、PDA操作、异常件处理等。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73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6</w:t>
            </w:r>
          </w:p>
        </w:tc>
        <w:tc>
          <w:tcPr>
            <w:tcW w:w="227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1+X职业资格训练及认证场场地</w:t>
            </w:r>
          </w:p>
        </w:tc>
        <w:tc>
          <w:tcPr>
            <w:tcW w:w="550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vertAlign w:val="baseline"/>
                <w:lang w:val="en-US" w:eastAsia="zh-CN"/>
                <w14:textFill>
                  <w14:solidFill>
                    <w14:schemeClr w14:val="tx1"/>
                  </w14:solidFill>
                </w14:textFill>
              </w:rPr>
              <w:t>物流软件操作，仓储作业，物流安全等。</w:t>
            </w:r>
          </w:p>
        </w:tc>
      </w:tr>
    </w:tbl>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t>（三）教学资源</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我校物流管理专业课程教材选择严格遵循学校规定，选择近五年内的优质高职高专类规划教材。同时，联合企业共同开发课程和实习实训教材，设计技能考核办法和职业认证体系，制作专业核心课程的教学大纲、教学内容、教案与电子课件、实习实训指导书、考试系统与试题库及教学评价体系等；并在利用现有的开放网络教学资源的基础上，结合我校物流管理专业的发展与特性，积极储备并不断丰富在线开放课程资源，这些教学资源，能够满足学生专业学习、教师专业教学研究、教学实施和社会服务的需要。</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t>（四）教学方法</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default"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我校物流管理专业教学团队大力开展教学手段与方法的改革，实施以真实工作任务为载体的教学手段，形成多元化的教学方法，体现基于工作过程的教学指导思想。采用多媒体、计算机网络、云课堂等现代化教学手段，勇于探索各种信息化教学新模式，开展互动式教学、案例教学及仿真模拟实训，发挥学生的主观能动性，培养学生创新和实践能力。</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t>（五）教学评价</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目前，我校物流管理专业采用麦可思提供的教学质量管理平台实现对教师教学和学生学习的评价方式，能够收到较好的反馈效果。</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1.课程考核分为考试和考查二种，形式多样，可以通过纸质试卷、计算机模拟、现场实操、方案、报告等多种方式进行。</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2.我校是教育部物流管理首批1+X</w:t>
      </w:r>
      <w:r>
        <w:rPr>
          <w:rFonts w:hint="default" w:asciiTheme="minorEastAsia" w:hAnsiTheme="minorEastAsia" w:eastAsiaTheme="minorEastAsia" w:cstheme="minorEastAsia"/>
          <w:color w:val="000000" w:themeColor="text1"/>
          <w:sz w:val="24"/>
          <w:lang w:val="en-US" w:eastAsia="zh-CN"/>
          <w14:textFill>
            <w14:solidFill>
              <w14:schemeClr w14:val="tx1"/>
            </w14:solidFill>
          </w14:textFill>
        </w:rPr>
        <w:t>证书制度试点院校</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之一，职业资格认证考核评价严格参照国家职业资格证书考核标准进行。</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t>（六）质量管理</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我校物流管理专业注重加强教学质量保障体系建设，建立健全相应激励机制，成立包括教学副院长、教研室主任和教学督导组等人员在内的教学质量监控小组，及时收集教学信息，开展各种形式的教学质量监控工作，在教学质量的评估过程中，推行教学互评制度，实行教师自查、互评，实施教评学、学评教。</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定期召开教学例会，对存在的问题及时研究解决，有针对性地进行改进，了解学生对专业建设和教学管理的建议，了解用人单位的意见和要求，不断修订人才培养方案，推进教学改革，提高人才培养质量。</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t>十四、毕业要求</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t>（一）学分要求</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本专业毕业要求是通过3年的学习，要修满142学分、2448课时，完成规定的教学活动，毕业时达到相应的素质、知识和能力等方面的要求。</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lang w:val="en-US" w:eastAsia="zh-CN"/>
          <w14:textFill>
            <w14:solidFill>
              <w14:schemeClr w14:val="tx1"/>
            </w14:solidFill>
          </w14:textFill>
        </w:rPr>
        <w:t>（二）职业资格证书要求</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学生在毕业前，考取物流管理职业技能等级证书（中级）或</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采购从业人员职业能力等级认证（助理级）</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等物流行业现有资格证书。</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8"/>
          <w:szCs w:val="28"/>
          <w:lang w:val="en-US" w:eastAsia="zh-CN"/>
          <w14:textFill>
            <w14:solidFill>
              <w14:schemeClr w14:val="tx1"/>
            </w14:solidFill>
          </w14:textFill>
        </w:rPr>
        <w:t>十五、编制说明</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本次物流管理专业人才培养方案设计，是在对物流行业标杆企业和我校物流类毕业生问卷调研分析的基础上，由专业教师与企业专家共同研讨制定，并经我校物流管理专业教学委员会论证。</w:t>
      </w:r>
    </w:p>
    <w:p>
      <w:pPr>
        <w:spacing w:line="360" w:lineRule="auto"/>
        <w:ind w:firstLine="480" w:firstLineChars="200"/>
        <w:rPr>
          <w:rFonts w:hint="eastAsia" w:ascii="宋体" w:hAnsi="宋体"/>
          <w:color w:val="000000" w:themeColor="text1"/>
          <w:sz w:val="24"/>
          <w14:textFill>
            <w14:solidFill>
              <w14:schemeClr w14:val="tx1"/>
            </w14:solidFill>
          </w14:textFill>
        </w:rPr>
      </w:pPr>
    </w:p>
    <w:p>
      <w:pPr>
        <w:spacing w:line="360" w:lineRule="auto"/>
        <w:ind w:firstLine="480" w:firstLineChars="200"/>
        <w:rPr>
          <w:rFonts w:hint="eastAsia" w:ascii="宋体" w:hAnsi="宋体"/>
          <w:color w:val="000000" w:themeColor="text1"/>
          <w:sz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righ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物流管理教研室</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right"/>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二〇二〇年五月</w:t>
      </w: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仿宋_GB2312"/>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仿宋_GB2312"/>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11</w:t>
                    </w:r>
                    <w:r>
                      <w:rPr>
                        <w:rFonts w:hint="eastAsia"/>
                        <w:lang w:eastAsia="zh-CN"/>
                      </w:rPr>
                      <w:fldChar w:fldCharType="end"/>
                    </w:r>
                    <w:r>
                      <w:rPr>
                        <w:rFonts w:hint="eastAsia"/>
                        <w:lang w:eastAsia="zh-CN"/>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3743DD"/>
    <w:rsid w:val="003D27FA"/>
    <w:rsid w:val="00420B14"/>
    <w:rsid w:val="004E3571"/>
    <w:rsid w:val="00526E1D"/>
    <w:rsid w:val="006C126F"/>
    <w:rsid w:val="007F37AB"/>
    <w:rsid w:val="008317D9"/>
    <w:rsid w:val="00865F84"/>
    <w:rsid w:val="00A350D4"/>
    <w:rsid w:val="00BB0C4A"/>
    <w:rsid w:val="00C66C97"/>
    <w:rsid w:val="058711A1"/>
    <w:rsid w:val="068D1A90"/>
    <w:rsid w:val="099C4B91"/>
    <w:rsid w:val="09FB137A"/>
    <w:rsid w:val="0BBF0FE2"/>
    <w:rsid w:val="0C0F061A"/>
    <w:rsid w:val="0C857991"/>
    <w:rsid w:val="113255BC"/>
    <w:rsid w:val="11CA79A0"/>
    <w:rsid w:val="158A6BA9"/>
    <w:rsid w:val="15F16EF4"/>
    <w:rsid w:val="18831B61"/>
    <w:rsid w:val="19A96383"/>
    <w:rsid w:val="1E8F24E3"/>
    <w:rsid w:val="20C12AB9"/>
    <w:rsid w:val="297402AF"/>
    <w:rsid w:val="2BD1780A"/>
    <w:rsid w:val="2C182035"/>
    <w:rsid w:val="2D88600D"/>
    <w:rsid w:val="2F2118F0"/>
    <w:rsid w:val="2FBE6366"/>
    <w:rsid w:val="33D81AF1"/>
    <w:rsid w:val="35253300"/>
    <w:rsid w:val="36C72996"/>
    <w:rsid w:val="3B415A14"/>
    <w:rsid w:val="3C9957E9"/>
    <w:rsid w:val="3DCD4417"/>
    <w:rsid w:val="43C42E54"/>
    <w:rsid w:val="44482CFD"/>
    <w:rsid w:val="44D7682C"/>
    <w:rsid w:val="456A6F1D"/>
    <w:rsid w:val="45B87D07"/>
    <w:rsid w:val="46632BA4"/>
    <w:rsid w:val="49C240A5"/>
    <w:rsid w:val="4AC07A7E"/>
    <w:rsid w:val="4F4C6D6C"/>
    <w:rsid w:val="51210317"/>
    <w:rsid w:val="5A3B4EC1"/>
    <w:rsid w:val="5A916A6E"/>
    <w:rsid w:val="5AD87E37"/>
    <w:rsid w:val="5CC22C45"/>
    <w:rsid w:val="65356C27"/>
    <w:rsid w:val="66D816DA"/>
    <w:rsid w:val="672265B5"/>
    <w:rsid w:val="71896EAA"/>
    <w:rsid w:val="79F0254A"/>
    <w:rsid w:val="7D081B67"/>
    <w:rsid w:val="7E5337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0"/>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 w:val="21"/>
      <w:szCs w:val="21"/>
    </w:rPr>
  </w:style>
  <w:style w:type="paragraph" w:styleId="3">
    <w:name w:val="Balloon Text"/>
    <w:basedOn w:val="1"/>
    <w:link w:val="9"/>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批注框文本 Char"/>
    <w:basedOn w:val="8"/>
    <w:link w:val="3"/>
    <w:semiHidden/>
    <w:qFormat/>
    <w:uiPriority w:val="99"/>
    <w:rPr>
      <w:rFonts w:ascii="Times New Roman" w:hAnsi="Times New Roman" w:eastAsia="仿宋_GB2312" w:cs="Times New Roman"/>
      <w:sz w:val="18"/>
      <w:szCs w:val="18"/>
    </w:rPr>
  </w:style>
  <w:style w:type="character" w:customStyle="1" w:styleId="10">
    <w:name w:val="页眉 Char"/>
    <w:basedOn w:val="8"/>
    <w:link w:val="5"/>
    <w:qFormat/>
    <w:uiPriority w:val="99"/>
    <w:rPr>
      <w:rFonts w:ascii="Times New Roman" w:hAnsi="Times New Roman" w:eastAsia="仿宋_GB2312" w:cs="Times New Roman"/>
      <w:sz w:val="18"/>
      <w:szCs w:val="18"/>
    </w:rPr>
  </w:style>
  <w:style w:type="character" w:customStyle="1" w:styleId="11">
    <w:name w:val="页脚 Char"/>
    <w:basedOn w:val="8"/>
    <w:link w:val="4"/>
    <w:qFormat/>
    <w:uiPriority w:val="99"/>
    <w:rPr>
      <w:rFonts w:ascii="Times New Roman" w:hAnsi="Times New Roman" w:eastAsia="仿宋_GB2312" w:cs="Times New Roman"/>
      <w:sz w:val="18"/>
      <w:szCs w:val="18"/>
    </w:rPr>
  </w:style>
  <w:style w:type="character" w:customStyle="1" w:styleId="12">
    <w:name w:val="font01"/>
    <w:basedOn w:val="8"/>
    <w:qFormat/>
    <w:uiPriority w:val="0"/>
    <w:rPr>
      <w:rFonts w:hint="default" w:ascii="Times New Roman" w:hAnsi="Times New Roman" w:cs="Times New Roman"/>
      <w:color w:val="000000"/>
      <w:sz w:val="20"/>
      <w:szCs w:val="20"/>
      <w:u w:val="none"/>
    </w:rPr>
  </w:style>
  <w:style w:type="character" w:customStyle="1" w:styleId="13">
    <w:name w:val="font31"/>
    <w:basedOn w:val="8"/>
    <w:qFormat/>
    <w:uiPriority w:val="0"/>
    <w:rPr>
      <w:rFonts w:hint="eastAsia" w:ascii="宋体" w:hAnsi="宋体" w:eastAsia="宋体" w:cs="宋体"/>
      <w:color w:val="000000"/>
      <w:sz w:val="20"/>
      <w:szCs w:val="20"/>
      <w:u w:val="none"/>
    </w:rPr>
  </w:style>
  <w:style w:type="character" w:customStyle="1" w:styleId="14">
    <w:name w:val="font11"/>
    <w:basedOn w:val="8"/>
    <w:qFormat/>
    <w:uiPriority w:val="0"/>
    <w:rPr>
      <w:rFonts w:hint="default" w:ascii="Times New Roman" w:hAnsi="Times New Roman" w:cs="Times New Roman"/>
      <w:color w:val="000000"/>
      <w:sz w:val="20"/>
      <w:szCs w:val="20"/>
      <w:u w:val="none"/>
    </w:rPr>
  </w:style>
  <w:style w:type="character" w:customStyle="1" w:styleId="15">
    <w:name w:val="font41"/>
    <w:basedOn w:val="8"/>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47</Words>
  <Characters>274</Characters>
  <Lines>2</Lines>
  <Paragraphs>1</Paragraphs>
  <TotalTime>11</TotalTime>
  <ScaleCrop>false</ScaleCrop>
  <LinksUpToDate>false</LinksUpToDate>
  <CharactersWithSpaces>320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2019-08-30T02:09:00Z</dcterms:created>
  <dc:creator>濮光宁</dc:creator>
  <cp:lastModifiedBy>曹金新</cp:lastModifiedBy>
  <cp:lastPrinted>2019-08-30T02:38:00Z</cp:lastPrinted>
  <dcterms:modified xsi:type="dcterms:W3CDTF">2020-06-23T08:28:06Z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